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5" w:rsidRPr="00FF15DD" w:rsidRDefault="006F7AE2" w:rsidP="00BC7855">
      <w:pPr>
        <w:pStyle w:val="Pro-Gramm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161C0" w:rsidRPr="00FF15DD" w:rsidRDefault="00314905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15DD">
        <w:rPr>
          <w:rFonts w:ascii="Times New Roman" w:hAnsi="Times New Roman"/>
          <w:b/>
          <w:sz w:val="28"/>
          <w:szCs w:val="28"/>
        </w:rPr>
        <w:t xml:space="preserve">о результатах мониторинга качества финансового менеджмента </w:t>
      </w:r>
    </w:p>
    <w:p w:rsidR="008161C0" w:rsidRPr="00FF15DD" w:rsidRDefault="00314905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15DD">
        <w:rPr>
          <w:rFonts w:ascii="Times New Roman" w:hAnsi="Times New Roman"/>
          <w:b/>
          <w:sz w:val="28"/>
          <w:szCs w:val="28"/>
        </w:rPr>
        <w:t xml:space="preserve">главных администраторов средств бюджета </w:t>
      </w:r>
    </w:p>
    <w:p w:rsidR="008161C0" w:rsidRPr="00FF15DD" w:rsidRDefault="00F67AFC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0005">
        <w:rPr>
          <w:rFonts w:ascii="Times New Roman" w:hAnsi="Times New Roman"/>
          <w:b/>
          <w:sz w:val="28"/>
          <w:szCs w:val="28"/>
        </w:rPr>
        <w:t>Вистинско</w:t>
      </w:r>
      <w:r w:rsidR="007A565C">
        <w:rPr>
          <w:rFonts w:ascii="Times New Roman" w:hAnsi="Times New Roman"/>
          <w:b/>
          <w:sz w:val="28"/>
          <w:szCs w:val="28"/>
        </w:rPr>
        <w:t>го</w:t>
      </w:r>
      <w:r w:rsidRPr="00AB0005">
        <w:rPr>
          <w:rFonts w:ascii="Times New Roman" w:hAnsi="Times New Roman"/>
          <w:b/>
          <w:sz w:val="28"/>
          <w:szCs w:val="28"/>
        </w:rPr>
        <w:t xml:space="preserve"> сельско</w:t>
      </w:r>
      <w:r w:rsidR="007A565C">
        <w:rPr>
          <w:rFonts w:ascii="Times New Roman" w:hAnsi="Times New Roman"/>
          <w:b/>
          <w:sz w:val="28"/>
          <w:szCs w:val="28"/>
        </w:rPr>
        <w:t>го</w:t>
      </w:r>
      <w:r w:rsidRPr="00AB0005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A565C">
        <w:rPr>
          <w:rFonts w:ascii="Times New Roman" w:hAnsi="Times New Roman"/>
          <w:b/>
          <w:sz w:val="28"/>
          <w:szCs w:val="28"/>
        </w:rPr>
        <w:t>я</w:t>
      </w:r>
      <w:r w:rsidR="008161C0" w:rsidRPr="00FF15DD">
        <w:rPr>
          <w:rFonts w:ascii="Times New Roman" w:hAnsi="Times New Roman"/>
          <w:b/>
          <w:sz w:val="28"/>
          <w:szCs w:val="28"/>
        </w:rPr>
        <w:t xml:space="preserve"> </w:t>
      </w:r>
    </w:p>
    <w:p w:rsidR="00314905" w:rsidRPr="00FF15DD" w:rsidRDefault="008161C0" w:rsidP="008161C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15DD">
        <w:rPr>
          <w:rFonts w:ascii="Times New Roman" w:hAnsi="Times New Roman"/>
          <w:b/>
          <w:sz w:val="28"/>
          <w:szCs w:val="28"/>
        </w:rPr>
        <w:t>за 202</w:t>
      </w:r>
      <w:r w:rsidR="007A565C">
        <w:rPr>
          <w:rFonts w:ascii="Times New Roman" w:hAnsi="Times New Roman"/>
          <w:b/>
          <w:sz w:val="28"/>
          <w:szCs w:val="28"/>
        </w:rPr>
        <w:t>3</w:t>
      </w:r>
      <w:r w:rsidRPr="00FF15D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6EA5" w:rsidRDefault="005A6EA5" w:rsidP="006F7AE2">
      <w:pPr>
        <w:ind w:firstLine="560"/>
        <w:jc w:val="both"/>
        <w:rPr>
          <w:sz w:val="28"/>
          <w:szCs w:val="28"/>
        </w:rPr>
      </w:pPr>
    </w:p>
    <w:p w:rsidR="006F7AE2" w:rsidRPr="00A33DA4" w:rsidRDefault="006F7AE2" w:rsidP="006F7AE2">
      <w:pPr>
        <w:ind w:firstLine="56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FF15DD">
        <w:rPr>
          <w:sz w:val="28"/>
          <w:szCs w:val="28"/>
        </w:rPr>
        <w:t xml:space="preserve">ониторинг </w:t>
      </w:r>
      <w:proofErr w:type="gramStart"/>
      <w:r w:rsidRPr="00FF15DD">
        <w:rPr>
          <w:sz w:val="28"/>
          <w:szCs w:val="28"/>
        </w:rPr>
        <w:t>качества финансового менеджмента главных администраторов средств бюджета</w:t>
      </w:r>
      <w:proofErr w:type="gramEnd"/>
      <w:r w:rsidRPr="00FF15DD">
        <w:rPr>
          <w:sz w:val="28"/>
          <w:szCs w:val="28"/>
        </w:rPr>
        <w:t xml:space="preserve"> МО «Кингисеппский муниципальный район»</w:t>
      </w:r>
      <w:r>
        <w:rPr>
          <w:sz w:val="28"/>
          <w:szCs w:val="28"/>
        </w:rPr>
        <w:t xml:space="preserve"> проведен</w:t>
      </w:r>
      <w:r w:rsidR="00564F43" w:rsidRPr="00564F43">
        <w:rPr>
          <w:sz w:val="28"/>
          <w:szCs w:val="28"/>
        </w:rPr>
        <w:t xml:space="preserve"> </w:t>
      </w:r>
      <w:r w:rsidR="00564F43" w:rsidRPr="00A33DA4">
        <w:rPr>
          <w:sz w:val="28"/>
          <w:szCs w:val="28"/>
        </w:rPr>
        <w:t>Комитет</w:t>
      </w:r>
      <w:r w:rsidR="00564F43">
        <w:rPr>
          <w:sz w:val="28"/>
          <w:szCs w:val="28"/>
        </w:rPr>
        <w:t>ом</w:t>
      </w:r>
      <w:r w:rsidR="00564F43" w:rsidRPr="00A33DA4">
        <w:rPr>
          <w:sz w:val="28"/>
          <w:szCs w:val="28"/>
        </w:rPr>
        <w:t xml:space="preserve"> финансов</w:t>
      </w:r>
      <w:r w:rsidR="00564F43" w:rsidRPr="00FD12A6">
        <w:rPr>
          <w:sz w:val="28"/>
          <w:szCs w:val="28"/>
        </w:rPr>
        <w:t xml:space="preserve"> администрации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</w:t>
      </w:r>
      <w:r w:rsidR="00564F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финансовым </w:t>
      </w:r>
      <w:r w:rsidRPr="00A33DA4">
        <w:rPr>
          <w:sz w:val="28"/>
          <w:szCs w:val="28"/>
        </w:rPr>
        <w:t>органом</w:t>
      </w:r>
      <w:r w:rsidR="00A33DA4" w:rsidRPr="00A33DA4">
        <w:rPr>
          <w:sz w:val="28"/>
          <w:szCs w:val="28"/>
        </w:rPr>
        <w:t xml:space="preserve"> муниципального образования «Кингисеппский муниципальный район» Ленинградской области</w:t>
      </w:r>
      <w:r w:rsidR="00A33DA4">
        <w:rPr>
          <w:sz w:val="28"/>
          <w:szCs w:val="28"/>
        </w:rPr>
        <w:t>.</w:t>
      </w:r>
      <w:r w:rsidR="00A33DA4" w:rsidRPr="00A33DA4">
        <w:rPr>
          <w:sz w:val="28"/>
          <w:szCs w:val="28"/>
        </w:rPr>
        <w:t xml:space="preserve"> </w:t>
      </w:r>
      <w:r w:rsidRPr="00A33DA4">
        <w:rPr>
          <w:sz w:val="28"/>
          <w:szCs w:val="28"/>
        </w:rPr>
        <w:t xml:space="preserve"> </w:t>
      </w:r>
    </w:p>
    <w:p w:rsidR="006F7AE2" w:rsidRPr="00FD12A6" w:rsidRDefault="006F7AE2" w:rsidP="006F7AE2">
      <w:pPr>
        <w:ind w:firstLine="560"/>
        <w:jc w:val="both"/>
        <w:rPr>
          <w:rFonts w:eastAsia="Courier New"/>
          <w:sz w:val="28"/>
          <w:szCs w:val="28"/>
        </w:rPr>
      </w:pPr>
      <w:r w:rsidRPr="00A33DA4">
        <w:rPr>
          <w:rFonts w:eastAsia="Calibri"/>
          <w:i/>
          <w:color w:val="000000"/>
          <w:sz w:val="28"/>
          <w:szCs w:val="28"/>
        </w:rPr>
        <w:t>Полное наименование</w:t>
      </w:r>
      <w:r w:rsidRPr="00A33DA4">
        <w:rPr>
          <w:rFonts w:eastAsia="Calibri"/>
          <w:color w:val="000000"/>
          <w:sz w:val="28"/>
          <w:szCs w:val="28"/>
        </w:rPr>
        <w:t xml:space="preserve">: </w:t>
      </w:r>
      <w:r w:rsidRPr="00A33DA4">
        <w:rPr>
          <w:sz w:val="28"/>
          <w:szCs w:val="28"/>
        </w:rPr>
        <w:t>Комитет финансов</w:t>
      </w:r>
      <w:r w:rsidRPr="00FD12A6">
        <w:rPr>
          <w:sz w:val="28"/>
          <w:szCs w:val="28"/>
        </w:rPr>
        <w:t xml:space="preserve"> администрации муниципального образования «Кингисеппский муниципальный район» Ленинградской области</w:t>
      </w:r>
      <w:r w:rsidRPr="00FD12A6">
        <w:rPr>
          <w:rFonts w:eastAsia="Calibri"/>
          <w:color w:val="000000"/>
          <w:sz w:val="28"/>
          <w:szCs w:val="28"/>
        </w:rPr>
        <w:t xml:space="preserve">. </w:t>
      </w:r>
    </w:p>
    <w:p w:rsidR="006F7AE2" w:rsidRPr="00FD12A6" w:rsidRDefault="006F7AE2" w:rsidP="006F7AE2">
      <w:pPr>
        <w:ind w:firstLine="560"/>
        <w:jc w:val="both"/>
        <w:rPr>
          <w:rFonts w:eastAsia="Courier New"/>
          <w:sz w:val="28"/>
          <w:szCs w:val="28"/>
        </w:rPr>
      </w:pPr>
      <w:r w:rsidRPr="00FD12A6">
        <w:rPr>
          <w:rFonts w:eastAsia="Calibri"/>
          <w:i/>
          <w:color w:val="000000"/>
          <w:sz w:val="28"/>
          <w:szCs w:val="28"/>
        </w:rPr>
        <w:t>Юридический и фактический адрес</w:t>
      </w:r>
      <w:r w:rsidRPr="00FD12A6">
        <w:rPr>
          <w:rFonts w:eastAsia="Calibri"/>
          <w:color w:val="000000"/>
          <w:sz w:val="28"/>
          <w:szCs w:val="28"/>
        </w:rPr>
        <w:t>:</w:t>
      </w:r>
    </w:p>
    <w:p w:rsidR="006F7AE2" w:rsidRPr="00FD12A6" w:rsidRDefault="006F7AE2" w:rsidP="006F7AE2">
      <w:pPr>
        <w:ind w:firstLine="560"/>
        <w:jc w:val="both"/>
        <w:rPr>
          <w:rFonts w:eastAsia="Courier New"/>
          <w:sz w:val="28"/>
          <w:szCs w:val="28"/>
        </w:rPr>
      </w:pPr>
      <w:r w:rsidRPr="00FD12A6">
        <w:rPr>
          <w:rFonts w:eastAsia="Calibri"/>
          <w:color w:val="000000"/>
          <w:sz w:val="28"/>
          <w:szCs w:val="28"/>
        </w:rPr>
        <w:t>188480, Ленинградская область, город Кингисепп, проспект Карла Маркса, дом 2а.</w:t>
      </w:r>
    </w:p>
    <w:p w:rsidR="006F7AE2" w:rsidRPr="00FD12A6" w:rsidRDefault="006F7AE2" w:rsidP="006F7AE2">
      <w:pPr>
        <w:ind w:firstLine="560"/>
        <w:jc w:val="both"/>
        <w:rPr>
          <w:sz w:val="28"/>
          <w:szCs w:val="28"/>
        </w:rPr>
      </w:pPr>
      <w:r w:rsidRPr="00FD12A6">
        <w:rPr>
          <w:sz w:val="28"/>
          <w:szCs w:val="28"/>
        </w:rPr>
        <w:t xml:space="preserve">Комитет финансов администрации муниципального образования «Кингисеппский муниципальный район» Ленинградской области </w:t>
      </w:r>
      <w:r w:rsidRPr="00FD12A6">
        <w:rPr>
          <w:rFonts w:eastAsia="Calibri"/>
          <w:color w:val="000000"/>
          <w:sz w:val="28"/>
          <w:szCs w:val="28"/>
        </w:rPr>
        <w:t xml:space="preserve">(далее - комитет финансов) является </w:t>
      </w:r>
      <w:r w:rsidRPr="00FD12A6">
        <w:rPr>
          <w:sz w:val="28"/>
          <w:szCs w:val="28"/>
        </w:rPr>
        <w:t>структурным подразделением администрации муниципального образования «Кингисеппский муниципальны</w:t>
      </w:r>
      <w:r w:rsidR="00A33DA4">
        <w:rPr>
          <w:sz w:val="28"/>
          <w:szCs w:val="28"/>
        </w:rPr>
        <w:t>й район» Ленинградской области,</w:t>
      </w:r>
      <w:r w:rsidR="00A33DA4" w:rsidRPr="00A33DA4">
        <w:rPr>
          <w:sz w:val="28"/>
          <w:szCs w:val="28"/>
        </w:rPr>
        <w:t xml:space="preserve"> </w:t>
      </w:r>
      <w:r w:rsidR="00A33DA4" w:rsidRPr="00FD12A6">
        <w:rPr>
          <w:sz w:val="28"/>
          <w:szCs w:val="28"/>
        </w:rPr>
        <w:t xml:space="preserve">действует на основании Устава муниципального образования «Кингисеппский муниципальный район» Ленинградской области, утвержденного решением Совета депутатов муниципального образования «Кингисеппский муниципальный район» Ленинградской области от  07.12.2018 года № 598/3-с и Положения </w:t>
      </w:r>
      <w:r w:rsidR="00A33DA4" w:rsidRPr="00FD12A6">
        <w:rPr>
          <w:rFonts w:eastAsia="Calibri"/>
          <w:color w:val="000000"/>
          <w:sz w:val="28"/>
          <w:szCs w:val="28"/>
        </w:rPr>
        <w:t>о Комитете финансов администрации муниципального образования «Кингисеппский муниципальный район» Ленинградской области, утвержденного решением Совета депутатов муниципального образования «Кингисеппский муниципальный район» Ленинградской области от 28.06.2022 года № 356/4-с</w:t>
      </w:r>
      <w:r w:rsidR="00A33DA4">
        <w:rPr>
          <w:rFonts w:eastAsia="Calibri"/>
          <w:color w:val="000000"/>
          <w:sz w:val="28"/>
          <w:szCs w:val="28"/>
        </w:rPr>
        <w:t>.</w:t>
      </w:r>
    </w:p>
    <w:p w:rsidR="007A565C" w:rsidRPr="00FD12A6" w:rsidRDefault="007A565C" w:rsidP="007A565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D12A6">
        <w:rPr>
          <w:rFonts w:eastAsia="Calibri"/>
          <w:color w:val="000000"/>
          <w:sz w:val="28"/>
          <w:szCs w:val="28"/>
        </w:rPr>
        <w:t xml:space="preserve">Председателем комитета финансов </w:t>
      </w:r>
      <w:r>
        <w:rPr>
          <w:rFonts w:eastAsia="Calibri"/>
          <w:color w:val="000000"/>
          <w:sz w:val="28"/>
          <w:szCs w:val="28"/>
        </w:rPr>
        <w:t xml:space="preserve">является </w:t>
      </w:r>
      <w:r w:rsidRPr="00FD12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Сапина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FD12A6">
        <w:rPr>
          <w:rFonts w:eastAsia="Calibri"/>
          <w:color w:val="000000"/>
          <w:sz w:val="28"/>
          <w:szCs w:val="28"/>
        </w:rPr>
        <w:t>.</w:t>
      </w:r>
    </w:p>
    <w:p w:rsidR="006F7AE2" w:rsidRDefault="007A565C" w:rsidP="007A565C">
      <w:pPr>
        <w:ind w:firstLine="700"/>
        <w:jc w:val="both"/>
        <w:rPr>
          <w:rFonts w:eastAsia="Calibri"/>
          <w:color w:val="000000"/>
          <w:sz w:val="28"/>
          <w:szCs w:val="28"/>
        </w:rPr>
      </w:pPr>
      <w:r w:rsidRPr="00FD12A6">
        <w:rPr>
          <w:rFonts w:eastAsia="Calibri"/>
          <w:color w:val="000000"/>
          <w:sz w:val="28"/>
          <w:szCs w:val="28"/>
        </w:rPr>
        <w:t xml:space="preserve">Обязанности главного бухгалтера возложены на заместителя председателя комитета финансов, начальника отдела учета исполнения бюджета, главного бухгалтера </w:t>
      </w:r>
      <w:proofErr w:type="spellStart"/>
      <w:r>
        <w:rPr>
          <w:rFonts w:eastAsia="Calibri"/>
          <w:color w:val="000000"/>
          <w:sz w:val="28"/>
          <w:szCs w:val="28"/>
        </w:rPr>
        <w:t>Варзину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Светлану Ивановну</w:t>
      </w:r>
      <w:r w:rsidR="006F7AE2" w:rsidRPr="00FD12A6">
        <w:rPr>
          <w:rFonts w:eastAsia="Calibri"/>
          <w:color w:val="000000"/>
          <w:sz w:val="28"/>
          <w:szCs w:val="28"/>
        </w:rPr>
        <w:t>.</w:t>
      </w:r>
    </w:p>
    <w:p w:rsidR="00474513" w:rsidRDefault="00564F43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F15DD">
        <w:rPr>
          <w:rFonts w:ascii="Times New Roman" w:hAnsi="Times New Roman"/>
          <w:sz w:val="28"/>
          <w:szCs w:val="28"/>
        </w:rPr>
        <w:t xml:space="preserve">ониторинг </w:t>
      </w:r>
      <w:proofErr w:type="gramStart"/>
      <w:r w:rsidRPr="00FF15DD">
        <w:rPr>
          <w:rFonts w:ascii="Times New Roman" w:hAnsi="Times New Roman"/>
          <w:sz w:val="28"/>
          <w:szCs w:val="28"/>
        </w:rPr>
        <w:t xml:space="preserve">качества </w:t>
      </w:r>
      <w:r w:rsidR="00474513" w:rsidRPr="00FF15DD">
        <w:rPr>
          <w:rFonts w:ascii="Times New Roman" w:hAnsi="Times New Roman"/>
          <w:sz w:val="28"/>
          <w:szCs w:val="28"/>
        </w:rPr>
        <w:t>финансового менеджмента главных администраторов средств бюджета</w:t>
      </w:r>
      <w:proofErr w:type="gramEnd"/>
      <w:r w:rsidR="00474513" w:rsidRPr="00FF15DD">
        <w:rPr>
          <w:rFonts w:ascii="Times New Roman" w:hAnsi="Times New Roman"/>
          <w:sz w:val="28"/>
          <w:szCs w:val="28"/>
        </w:rPr>
        <w:t xml:space="preserve"> </w:t>
      </w:r>
      <w:r w:rsidR="00F67AFC" w:rsidRPr="00F67AFC">
        <w:rPr>
          <w:rFonts w:ascii="Times New Roman" w:hAnsi="Times New Roman"/>
          <w:sz w:val="28"/>
          <w:szCs w:val="28"/>
        </w:rPr>
        <w:t>Вистинско</w:t>
      </w:r>
      <w:r w:rsidR="007A565C">
        <w:rPr>
          <w:rFonts w:ascii="Times New Roman" w:hAnsi="Times New Roman"/>
          <w:sz w:val="28"/>
          <w:szCs w:val="28"/>
        </w:rPr>
        <w:t>го</w:t>
      </w:r>
      <w:r w:rsidR="00F67AFC" w:rsidRPr="00F67AFC">
        <w:rPr>
          <w:rFonts w:ascii="Times New Roman" w:hAnsi="Times New Roman"/>
          <w:sz w:val="28"/>
          <w:szCs w:val="28"/>
        </w:rPr>
        <w:t xml:space="preserve"> сельско</w:t>
      </w:r>
      <w:r w:rsidR="007A565C">
        <w:rPr>
          <w:rFonts w:ascii="Times New Roman" w:hAnsi="Times New Roman"/>
          <w:sz w:val="28"/>
          <w:szCs w:val="28"/>
        </w:rPr>
        <w:t>го</w:t>
      </w:r>
      <w:r w:rsidR="00F67AFC" w:rsidRPr="00F67AFC">
        <w:rPr>
          <w:rFonts w:ascii="Times New Roman" w:hAnsi="Times New Roman"/>
          <w:sz w:val="28"/>
          <w:szCs w:val="28"/>
        </w:rPr>
        <w:t xml:space="preserve"> поселени</w:t>
      </w:r>
      <w:r w:rsidR="007A565C">
        <w:rPr>
          <w:rFonts w:ascii="Times New Roman" w:hAnsi="Times New Roman"/>
          <w:sz w:val="28"/>
          <w:szCs w:val="28"/>
        </w:rPr>
        <w:t>я</w:t>
      </w:r>
      <w:r w:rsidR="00474513">
        <w:rPr>
          <w:rFonts w:ascii="Times New Roman" w:hAnsi="Times New Roman"/>
          <w:sz w:val="28"/>
          <w:szCs w:val="28"/>
        </w:rPr>
        <w:t xml:space="preserve"> </w:t>
      </w:r>
      <w:r w:rsidR="00474513" w:rsidRPr="00FF15DD">
        <w:rPr>
          <w:rFonts w:ascii="Times New Roman" w:hAnsi="Times New Roman"/>
          <w:sz w:val="28"/>
          <w:szCs w:val="28"/>
        </w:rPr>
        <w:t xml:space="preserve">(далее – ГАБС) </w:t>
      </w:r>
      <w:r w:rsidRPr="00FF15DD">
        <w:rPr>
          <w:rFonts w:ascii="Times New Roman" w:hAnsi="Times New Roman"/>
          <w:sz w:val="28"/>
          <w:szCs w:val="28"/>
        </w:rPr>
        <w:t>проведен</w:t>
      </w:r>
      <w:r w:rsidR="00474513">
        <w:rPr>
          <w:rFonts w:ascii="Times New Roman" w:hAnsi="Times New Roman"/>
          <w:sz w:val="28"/>
          <w:szCs w:val="28"/>
        </w:rPr>
        <w:t>:</w:t>
      </w:r>
    </w:p>
    <w:p w:rsidR="00474513" w:rsidRDefault="00474513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4F43" w:rsidRPr="00FF15DD">
        <w:rPr>
          <w:rFonts w:ascii="Times New Roman" w:hAnsi="Times New Roman"/>
          <w:sz w:val="28"/>
          <w:szCs w:val="28"/>
        </w:rPr>
        <w:t xml:space="preserve"> </w:t>
      </w:r>
      <w:r w:rsidRPr="00474513">
        <w:rPr>
          <w:rFonts w:ascii="Times New Roman" w:hAnsi="Times New Roman"/>
          <w:b/>
          <w:sz w:val="28"/>
          <w:szCs w:val="28"/>
        </w:rPr>
        <w:t>за 202</w:t>
      </w:r>
      <w:r w:rsidR="007A565C">
        <w:rPr>
          <w:rFonts w:ascii="Times New Roman" w:hAnsi="Times New Roman"/>
          <w:b/>
          <w:sz w:val="28"/>
          <w:szCs w:val="28"/>
        </w:rPr>
        <w:t>3</w:t>
      </w:r>
      <w:r w:rsidRPr="004745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314905" w:rsidRDefault="00474513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513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="00252DE4" w:rsidRPr="00474513">
        <w:rPr>
          <w:rFonts w:ascii="Times New Roman" w:hAnsi="Times New Roman"/>
          <w:b/>
          <w:sz w:val="28"/>
          <w:szCs w:val="28"/>
        </w:rPr>
        <w:t>с приказом комитета финансов от 18.03.2021</w:t>
      </w:r>
      <w:r w:rsidR="00B555F7">
        <w:rPr>
          <w:rFonts w:ascii="Times New Roman" w:hAnsi="Times New Roman"/>
          <w:b/>
          <w:sz w:val="28"/>
          <w:szCs w:val="28"/>
        </w:rPr>
        <w:t xml:space="preserve"> </w:t>
      </w:r>
      <w:r w:rsidR="003C38FF" w:rsidRPr="00474513">
        <w:rPr>
          <w:rFonts w:ascii="Times New Roman" w:hAnsi="Times New Roman"/>
          <w:b/>
          <w:sz w:val="28"/>
          <w:szCs w:val="28"/>
        </w:rPr>
        <w:t>года</w:t>
      </w:r>
      <w:r w:rsidR="00252DE4" w:rsidRPr="00474513">
        <w:rPr>
          <w:rFonts w:ascii="Times New Roman" w:hAnsi="Times New Roman"/>
          <w:b/>
          <w:sz w:val="28"/>
          <w:szCs w:val="28"/>
        </w:rPr>
        <w:t xml:space="preserve"> № 28</w:t>
      </w:r>
      <w:r w:rsidR="00252DE4" w:rsidRPr="00FF15DD">
        <w:rPr>
          <w:rFonts w:ascii="Times New Roman" w:hAnsi="Times New Roman"/>
          <w:sz w:val="28"/>
          <w:szCs w:val="28"/>
        </w:rPr>
        <w:t xml:space="preserve"> </w:t>
      </w:r>
      <w:r w:rsidR="009A301F" w:rsidRPr="00FF15DD">
        <w:rPr>
          <w:sz w:val="28"/>
          <w:szCs w:val="28"/>
        </w:rPr>
        <w:t>«</w:t>
      </w:r>
      <w:r w:rsidR="009A301F" w:rsidRPr="00FF15DD">
        <w:rPr>
          <w:rFonts w:ascii="Times New Roman" w:hAnsi="Times New Roman"/>
          <w:sz w:val="28"/>
          <w:szCs w:val="28"/>
        </w:rPr>
        <w:t>О порядке проведения мониторинга качества финансового менеджмента главных администраторов средств бюджета МО «Кингисеппский муниципальный район», бюджета МО «</w:t>
      </w:r>
      <w:proofErr w:type="spellStart"/>
      <w:r w:rsidR="009A301F" w:rsidRPr="00FF15DD">
        <w:rPr>
          <w:rFonts w:ascii="Times New Roman" w:hAnsi="Times New Roman"/>
          <w:sz w:val="28"/>
          <w:szCs w:val="28"/>
        </w:rPr>
        <w:t>Кингисеппское</w:t>
      </w:r>
      <w:proofErr w:type="spellEnd"/>
      <w:r w:rsidR="009A301F" w:rsidRPr="00FF15DD">
        <w:rPr>
          <w:rFonts w:ascii="Times New Roman" w:hAnsi="Times New Roman"/>
          <w:sz w:val="28"/>
          <w:szCs w:val="28"/>
        </w:rPr>
        <w:t xml:space="preserve"> городское поселение», бюджета МО «</w:t>
      </w:r>
      <w:proofErr w:type="spellStart"/>
      <w:r w:rsidR="009A301F" w:rsidRPr="00FF15DD">
        <w:rPr>
          <w:rFonts w:ascii="Times New Roman" w:hAnsi="Times New Roman"/>
          <w:sz w:val="28"/>
          <w:szCs w:val="28"/>
        </w:rPr>
        <w:t>Ивангородское</w:t>
      </w:r>
      <w:proofErr w:type="spellEnd"/>
      <w:r w:rsidR="009A301F" w:rsidRPr="00FF15DD">
        <w:rPr>
          <w:rFonts w:ascii="Times New Roman" w:hAnsi="Times New Roman"/>
          <w:sz w:val="28"/>
          <w:szCs w:val="28"/>
        </w:rPr>
        <w:t xml:space="preserve"> городское поселение» и бюджетов муниципальных образований сельских поселений, формирование и исполнение бюджетов которых</w:t>
      </w:r>
      <w:r w:rsidR="009A301F" w:rsidRPr="007A565C">
        <w:rPr>
          <w:rFonts w:ascii="Times New Roman" w:hAnsi="Times New Roman"/>
          <w:sz w:val="28"/>
          <w:szCs w:val="28"/>
        </w:rPr>
        <w:t xml:space="preserve"> осуществляется комитетом финансов администрации МО «Кингисеппский м</w:t>
      </w:r>
      <w:r w:rsidR="006F7AE2" w:rsidRPr="007A565C">
        <w:rPr>
          <w:rFonts w:ascii="Times New Roman" w:hAnsi="Times New Roman"/>
          <w:sz w:val="28"/>
          <w:szCs w:val="28"/>
        </w:rPr>
        <w:t>униципальный район»</w:t>
      </w:r>
      <w:r w:rsidR="00950446" w:rsidRPr="00FF15DD">
        <w:rPr>
          <w:rFonts w:ascii="Times New Roman" w:hAnsi="Times New Roman"/>
          <w:sz w:val="28"/>
          <w:szCs w:val="28"/>
        </w:rPr>
        <w:t xml:space="preserve"> (с изменениями</w:t>
      </w:r>
      <w:r>
        <w:rPr>
          <w:rFonts w:ascii="Times New Roman" w:hAnsi="Times New Roman"/>
          <w:sz w:val="28"/>
          <w:szCs w:val="28"/>
        </w:rPr>
        <w:t xml:space="preserve"> и дополнениями</w:t>
      </w:r>
      <w:r w:rsidR="00950446" w:rsidRPr="00FF15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314905" w:rsidRPr="00FF15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74513" w:rsidRDefault="00474513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4513" w:rsidRPr="00474513" w:rsidRDefault="00474513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74513">
        <w:rPr>
          <w:rFonts w:ascii="Times New Roman" w:hAnsi="Times New Roman"/>
          <w:b/>
          <w:sz w:val="28"/>
          <w:szCs w:val="28"/>
        </w:rPr>
        <w:lastRenderedPageBreak/>
        <w:t>Объект</w:t>
      </w:r>
      <w:r w:rsidR="005B3F63">
        <w:rPr>
          <w:rFonts w:ascii="Times New Roman" w:hAnsi="Times New Roman"/>
          <w:b/>
          <w:sz w:val="28"/>
          <w:szCs w:val="28"/>
        </w:rPr>
        <w:t>ом</w:t>
      </w:r>
      <w:r w:rsidRPr="00474513">
        <w:rPr>
          <w:rFonts w:ascii="Times New Roman" w:hAnsi="Times New Roman"/>
          <w:b/>
          <w:sz w:val="28"/>
          <w:szCs w:val="28"/>
        </w:rPr>
        <w:t xml:space="preserve"> оценки качества финансового менеджмента явля</w:t>
      </w:r>
      <w:r w:rsidR="005B3F63">
        <w:rPr>
          <w:rFonts w:ascii="Times New Roman" w:hAnsi="Times New Roman"/>
          <w:b/>
          <w:sz w:val="28"/>
          <w:szCs w:val="28"/>
        </w:rPr>
        <w:t>ется</w:t>
      </w:r>
      <w:r w:rsidRPr="00474513">
        <w:rPr>
          <w:rFonts w:ascii="Times New Roman" w:hAnsi="Times New Roman"/>
          <w:b/>
          <w:sz w:val="28"/>
          <w:szCs w:val="28"/>
        </w:rPr>
        <w:t xml:space="preserve"> ГАБС:</w:t>
      </w:r>
    </w:p>
    <w:tbl>
      <w:tblPr>
        <w:tblW w:w="10338" w:type="dxa"/>
        <w:tblLayout w:type="fixed"/>
        <w:tblLook w:val="04A0" w:firstRow="1" w:lastRow="0" w:firstColumn="1" w:lastColumn="0" w:noHBand="0" w:noVBand="1"/>
      </w:tblPr>
      <w:tblGrid>
        <w:gridCol w:w="688"/>
        <w:gridCol w:w="9650"/>
      </w:tblGrid>
      <w:tr w:rsidR="00474513" w:rsidRPr="006F4D50" w:rsidTr="005B3F63">
        <w:trPr>
          <w:cantSplit/>
          <w:trHeight w:val="170"/>
        </w:trPr>
        <w:tc>
          <w:tcPr>
            <w:tcW w:w="688" w:type="dxa"/>
          </w:tcPr>
          <w:p w:rsidR="00474513" w:rsidRPr="006F4D50" w:rsidRDefault="00474513" w:rsidP="007E5226">
            <w:pPr>
              <w:jc w:val="center"/>
              <w:rPr>
                <w:bCs/>
                <w:sz w:val="28"/>
                <w:szCs w:val="28"/>
              </w:rPr>
            </w:pPr>
            <w:r w:rsidRPr="006F4D5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50" w:type="dxa"/>
          </w:tcPr>
          <w:p w:rsidR="00474513" w:rsidRPr="006F4D50" w:rsidRDefault="005B3F63" w:rsidP="00F67AFC">
            <w:pPr>
              <w:jc w:val="both"/>
              <w:rPr>
                <w:bCs/>
                <w:sz w:val="28"/>
                <w:szCs w:val="28"/>
              </w:rPr>
            </w:pPr>
            <w:r w:rsidRPr="006F4D50">
              <w:rPr>
                <w:bCs/>
                <w:sz w:val="28"/>
                <w:szCs w:val="28"/>
              </w:rPr>
              <w:t xml:space="preserve">Администрация </w:t>
            </w:r>
            <w:r w:rsidR="007A565C" w:rsidRPr="00F67AFC">
              <w:rPr>
                <w:sz w:val="28"/>
                <w:szCs w:val="28"/>
              </w:rPr>
              <w:t>Вистинско</w:t>
            </w:r>
            <w:r w:rsidR="007A565C">
              <w:rPr>
                <w:sz w:val="28"/>
                <w:szCs w:val="28"/>
              </w:rPr>
              <w:t>го</w:t>
            </w:r>
            <w:r w:rsidR="007A565C" w:rsidRPr="00F67AFC">
              <w:rPr>
                <w:sz w:val="28"/>
                <w:szCs w:val="28"/>
              </w:rPr>
              <w:t xml:space="preserve"> сельско</w:t>
            </w:r>
            <w:r w:rsidR="007A565C">
              <w:rPr>
                <w:sz w:val="28"/>
                <w:szCs w:val="28"/>
              </w:rPr>
              <w:t>го</w:t>
            </w:r>
            <w:r w:rsidR="007A565C" w:rsidRPr="00F67AFC">
              <w:rPr>
                <w:sz w:val="28"/>
                <w:szCs w:val="28"/>
              </w:rPr>
              <w:t xml:space="preserve"> поселени</w:t>
            </w:r>
            <w:r w:rsidR="007A565C">
              <w:rPr>
                <w:sz w:val="28"/>
                <w:szCs w:val="28"/>
              </w:rPr>
              <w:t>я</w:t>
            </w:r>
            <w:r w:rsidRPr="005B3F6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далее – ГАБС).</w:t>
            </w:r>
          </w:p>
        </w:tc>
      </w:tr>
    </w:tbl>
    <w:p w:rsidR="00314905" w:rsidRPr="00FF15DD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15DD">
        <w:rPr>
          <w:rFonts w:ascii="Times New Roman" w:hAnsi="Times New Roman"/>
          <w:sz w:val="28"/>
          <w:szCs w:val="28"/>
        </w:rPr>
        <w:t xml:space="preserve">По итогам проведенного мониторинга ГАБС была присвоена </w:t>
      </w:r>
      <w:r w:rsidRPr="00FF15DD">
        <w:rPr>
          <w:rFonts w:ascii="Times New Roman" w:hAnsi="Times New Roman"/>
          <w:sz w:val="28"/>
          <w:szCs w:val="28"/>
          <w:lang w:val="en-US"/>
        </w:rPr>
        <w:t>I</w:t>
      </w:r>
      <w:r w:rsidRPr="00FF15DD">
        <w:rPr>
          <w:rFonts w:ascii="Times New Roman" w:hAnsi="Times New Roman"/>
          <w:sz w:val="28"/>
          <w:szCs w:val="28"/>
        </w:rPr>
        <w:t xml:space="preserve"> степень качества фина</w:t>
      </w:r>
      <w:r w:rsidR="005B3F63">
        <w:rPr>
          <w:rFonts w:ascii="Times New Roman" w:hAnsi="Times New Roman"/>
          <w:sz w:val="28"/>
          <w:szCs w:val="28"/>
        </w:rPr>
        <w:t xml:space="preserve">нсового менеджмента </w:t>
      </w:r>
    </w:p>
    <w:p w:rsidR="00314905" w:rsidRPr="00FF15DD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314905" w:rsidRPr="00FF15DD" w:rsidRDefault="005B3F63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14905" w:rsidRPr="00FF15DD">
        <w:rPr>
          <w:rFonts w:ascii="Times New Roman" w:hAnsi="Times New Roman"/>
          <w:sz w:val="28"/>
          <w:szCs w:val="28"/>
        </w:rPr>
        <w:t>ценка качества финансового менеджмента по ГАБС составила </w:t>
      </w:r>
      <w:r w:rsidR="007A565C">
        <w:rPr>
          <w:rFonts w:ascii="Times New Roman" w:hAnsi="Times New Roman"/>
          <w:sz w:val="28"/>
          <w:szCs w:val="28"/>
        </w:rPr>
        <w:t>93,</w:t>
      </w:r>
      <w:r w:rsidR="00B555F7">
        <w:rPr>
          <w:rFonts w:ascii="Times New Roman" w:hAnsi="Times New Roman"/>
          <w:sz w:val="28"/>
          <w:szCs w:val="28"/>
        </w:rPr>
        <w:t>0</w:t>
      </w:r>
      <w:r w:rsidR="00F67AFC" w:rsidRPr="003B5DE9">
        <w:rPr>
          <w:rFonts w:ascii="Times New Roman" w:hAnsi="Times New Roman"/>
          <w:sz w:val="28"/>
          <w:szCs w:val="28"/>
        </w:rPr>
        <w:t xml:space="preserve"> балл</w:t>
      </w:r>
      <w:r w:rsidR="00F67AFC">
        <w:rPr>
          <w:rFonts w:ascii="Times New Roman" w:hAnsi="Times New Roman"/>
          <w:sz w:val="28"/>
          <w:szCs w:val="28"/>
        </w:rPr>
        <w:t>а</w:t>
      </w:r>
      <w:r w:rsidR="00F67AFC" w:rsidRPr="003B5DE9">
        <w:rPr>
          <w:rFonts w:ascii="Times New Roman" w:hAnsi="Times New Roman"/>
          <w:sz w:val="28"/>
          <w:szCs w:val="28"/>
        </w:rPr>
        <w:t xml:space="preserve">, что на </w:t>
      </w:r>
      <w:r w:rsidR="007A565C">
        <w:rPr>
          <w:rFonts w:ascii="Times New Roman" w:hAnsi="Times New Roman"/>
          <w:sz w:val="28"/>
          <w:szCs w:val="28"/>
        </w:rPr>
        <w:t>4,</w:t>
      </w:r>
      <w:r w:rsidR="00B555F7">
        <w:rPr>
          <w:rFonts w:ascii="Times New Roman" w:hAnsi="Times New Roman"/>
          <w:sz w:val="28"/>
          <w:szCs w:val="28"/>
        </w:rPr>
        <w:t>9</w:t>
      </w:r>
      <w:r w:rsidR="007A565C">
        <w:rPr>
          <w:rFonts w:ascii="Times New Roman" w:hAnsi="Times New Roman"/>
          <w:sz w:val="28"/>
          <w:szCs w:val="28"/>
        </w:rPr>
        <w:t xml:space="preserve"> меньше</w:t>
      </w:r>
      <w:r w:rsidR="00F67AFC" w:rsidRPr="003B5DE9">
        <w:rPr>
          <w:rFonts w:ascii="Times New Roman" w:hAnsi="Times New Roman"/>
          <w:sz w:val="28"/>
          <w:szCs w:val="28"/>
        </w:rPr>
        <w:t>, чем в предыдущем году</w:t>
      </w:r>
      <w:r w:rsidR="00314905" w:rsidRPr="00FF15DD">
        <w:rPr>
          <w:rFonts w:ascii="Times New Roman" w:hAnsi="Times New Roman"/>
          <w:sz w:val="28"/>
          <w:szCs w:val="28"/>
        </w:rPr>
        <w:t>.</w:t>
      </w:r>
    </w:p>
    <w:p w:rsidR="00314905" w:rsidRPr="00FF15DD" w:rsidRDefault="001E4E51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15DD">
        <w:rPr>
          <w:rFonts w:ascii="Times New Roman" w:hAnsi="Times New Roman"/>
          <w:sz w:val="28"/>
          <w:szCs w:val="28"/>
        </w:rPr>
        <w:t xml:space="preserve">Изменение интегральной оценки качества финансового менеджмента ГАБС представлено в таблице </w:t>
      </w:r>
      <w:r w:rsidR="005B3F63">
        <w:rPr>
          <w:rFonts w:ascii="Times New Roman" w:hAnsi="Times New Roman"/>
          <w:sz w:val="28"/>
          <w:szCs w:val="28"/>
        </w:rPr>
        <w:t>1</w:t>
      </w:r>
      <w:r w:rsidR="00314905" w:rsidRPr="00FF15DD">
        <w:rPr>
          <w:rFonts w:ascii="Times New Roman" w:hAnsi="Times New Roman"/>
          <w:sz w:val="28"/>
          <w:szCs w:val="28"/>
        </w:rPr>
        <w:t>.</w:t>
      </w:r>
    </w:p>
    <w:p w:rsidR="00314905" w:rsidRPr="00FF15DD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314905" w:rsidRPr="00FF15DD" w:rsidRDefault="00314905" w:rsidP="008161C0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FF15DD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DC51B5">
        <w:rPr>
          <w:rFonts w:ascii="Times New Roman" w:hAnsi="Times New Roman"/>
          <w:color w:val="auto"/>
          <w:sz w:val="24"/>
          <w:szCs w:val="24"/>
        </w:rPr>
        <w:t>1</w:t>
      </w:r>
      <w:r w:rsidRPr="00FF15DD">
        <w:rPr>
          <w:rFonts w:ascii="Times New Roman" w:hAnsi="Times New Roman"/>
          <w:color w:val="auto"/>
          <w:sz w:val="24"/>
          <w:szCs w:val="24"/>
        </w:rPr>
        <w:t>. Интегральная оценка качества финансового менеджмента ГАБС</w:t>
      </w:r>
    </w:p>
    <w:p w:rsidR="00314905" w:rsidRPr="00FF15DD" w:rsidRDefault="00314905" w:rsidP="008161C0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622"/>
        <w:gridCol w:w="1510"/>
        <w:gridCol w:w="1559"/>
        <w:gridCol w:w="2268"/>
      </w:tblGrid>
      <w:tr w:rsidR="00314905" w:rsidRPr="00FF15DD" w:rsidTr="008A7443">
        <w:trPr>
          <w:trHeight w:val="431"/>
        </w:trPr>
        <w:tc>
          <w:tcPr>
            <w:tcW w:w="964" w:type="dxa"/>
            <w:vMerge w:val="restart"/>
            <w:vAlign w:val="center"/>
          </w:tcPr>
          <w:p w:rsidR="00314905" w:rsidRPr="00DC51B5" w:rsidRDefault="00314905" w:rsidP="008A744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C51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C51B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22" w:type="dxa"/>
            <w:vMerge w:val="restart"/>
            <w:vAlign w:val="center"/>
          </w:tcPr>
          <w:p w:rsidR="00314905" w:rsidRPr="00DC51B5" w:rsidRDefault="00314905" w:rsidP="008A7443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ГАБС</w:t>
            </w:r>
          </w:p>
        </w:tc>
        <w:tc>
          <w:tcPr>
            <w:tcW w:w="5337" w:type="dxa"/>
            <w:gridSpan w:val="3"/>
          </w:tcPr>
          <w:p w:rsidR="00314905" w:rsidRPr="00DC51B5" w:rsidRDefault="00314905" w:rsidP="008161C0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B5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314905" w:rsidRPr="00FF15DD" w:rsidTr="007A565C">
        <w:tc>
          <w:tcPr>
            <w:tcW w:w="964" w:type="dxa"/>
            <w:vMerge/>
          </w:tcPr>
          <w:p w:rsidR="00314905" w:rsidRPr="00DC51B5" w:rsidRDefault="00314905" w:rsidP="008161C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vMerge/>
          </w:tcPr>
          <w:p w:rsidR="00314905" w:rsidRPr="00DC51B5" w:rsidRDefault="00314905" w:rsidP="008161C0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510" w:type="dxa"/>
          </w:tcPr>
          <w:p w:rsidR="00314905" w:rsidRPr="00DC51B5" w:rsidRDefault="004526A0" w:rsidP="007A565C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B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A56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4905" w:rsidRPr="00DC51B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14905" w:rsidRPr="00DC51B5" w:rsidRDefault="004526A0" w:rsidP="007A565C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E4E51" w:rsidRPr="00DC51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56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4905" w:rsidRPr="00DC51B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14905" w:rsidRPr="00DC51B5" w:rsidRDefault="00314905" w:rsidP="007A565C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1B5">
              <w:rPr>
                <w:rFonts w:ascii="Times New Roman" w:hAnsi="Times New Roman"/>
                <w:b/>
                <w:sz w:val="24"/>
                <w:szCs w:val="24"/>
              </w:rPr>
              <w:t>Изменение за год</w:t>
            </w:r>
          </w:p>
        </w:tc>
      </w:tr>
      <w:tr w:rsidR="001E4E51" w:rsidRPr="00FF15DD" w:rsidTr="007A565C">
        <w:tc>
          <w:tcPr>
            <w:tcW w:w="964" w:type="dxa"/>
          </w:tcPr>
          <w:p w:rsidR="001E4E51" w:rsidRPr="005B3F63" w:rsidRDefault="005B3F63" w:rsidP="008161C0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1E4E51" w:rsidRPr="005B3F63" w:rsidRDefault="001E4E51" w:rsidP="00F67AF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3F6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A565C" w:rsidRPr="007A565C">
              <w:rPr>
                <w:rFonts w:ascii="Times New Roman" w:hAnsi="Times New Roman"/>
                <w:bCs/>
                <w:sz w:val="24"/>
                <w:szCs w:val="24"/>
              </w:rPr>
              <w:t>Вистинского сельского поселения</w:t>
            </w:r>
          </w:p>
        </w:tc>
        <w:tc>
          <w:tcPr>
            <w:tcW w:w="1510" w:type="dxa"/>
            <w:vAlign w:val="center"/>
          </w:tcPr>
          <w:p w:rsidR="001E4E51" w:rsidRPr="00FF15DD" w:rsidRDefault="007A565C" w:rsidP="00B555F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</w:t>
            </w:r>
            <w:r w:rsidR="00B555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4E51" w:rsidRPr="00FF15DD" w:rsidRDefault="005B3F63" w:rsidP="007A565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A565C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2268" w:type="dxa"/>
            <w:vAlign w:val="center"/>
          </w:tcPr>
          <w:p w:rsidR="001E4E51" w:rsidRPr="00FF15DD" w:rsidRDefault="007A565C" w:rsidP="00B555F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</w:t>
            </w:r>
            <w:r w:rsidR="00B555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161C0" w:rsidRPr="00FF15DD" w:rsidRDefault="008161C0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7A565C" w:rsidRDefault="007A565C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14905" w:rsidRPr="00FF15DD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F15DD">
        <w:rPr>
          <w:rFonts w:ascii="Times New Roman" w:hAnsi="Times New Roman"/>
          <w:sz w:val="28"/>
          <w:szCs w:val="28"/>
        </w:rPr>
        <w:t>Наиболее низко</w:t>
      </w:r>
      <w:r w:rsidR="00D44702" w:rsidRPr="00FF15DD">
        <w:rPr>
          <w:rFonts w:ascii="Times New Roman" w:hAnsi="Times New Roman"/>
          <w:sz w:val="28"/>
          <w:szCs w:val="28"/>
        </w:rPr>
        <w:t>е</w:t>
      </w:r>
      <w:r w:rsidRPr="00FF15DD">
        <w:rPr>
          <w:rFonts w:ascii="Times New Roman" w:hAnsi="Times New Roman"/>
          <w:sz w:val="28"/>
          <w:szCs w:val="28"/>
        </w:rPr>
        <w:t xml:space="preserve"> качество финансового менеджмента ГАБС оценивается по следующим показателям (таблица </w:t>
      </w:r>
      <w:r w:rsidR="00311499">
        <w:rPr>
          <w:rFonts w:ascii="Times New Roman" w:hAnsi="Times New Roman"/>
          <w:sz w:val="28"/>
          <w:szCs w:val="28"/>
        </w:rPr>
        <w:t>2</w:t>
      </w:r>
      <w:r w:rsidRPr="00FF15DD">
        <w:rPr>
          <w:rFonts w:ascii="Times New Roman" w:hAnsi="Times New Roman"/>
          <w:sz w:val="28"/>
          <w:szCs w:val="28"/>
        </w:rPr>
        <w:t>):</w:t>
      </w:r>
    </w:p>
    <w:p w:rsidR="00314905" w:rsidRPr="00FF15DD" w:rsidRDefault="00314905" w:rsidP="008161C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314905" w:rsidRPr="00FF15DD" w:rsidRDefault="00314905" w:rsidP="008161C0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FF15DD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311499">
        <w:rPr>
          <w:rFonts w:ascii="Times New Roman" w:hAnsi="Times New Roman"/>
          <w:color w:val="auto"/>
          <w:sz w:val="24"/>
          <w:szCs w:val="24"/>
        </w:rPr>
        <w:t>2</w:t>
      </w:r>
      <w:r w:rsidRPr="00FF15DD">
        <w:rPr>
          <w:rFonts w:ascii="Times New Roman" w:hAnsi="Times New Roman"/>
          <w:color w:val="auto"/>
          <w:sz w:val="24"/>
          <w:szCs w:val="24"/>
        </w:rPr>
        <w:t xml:space="preserve">. Показатели КФМ с наибольшим числом ГАБС, </w:t>
      </w:r>
      <w:proofErr w:type="gramStart"/>
      <w:r w:rsidRPr="00FF15DD">
        <w:rPr>
          <w:rFonts w:ascii="Times New Roman" w:hAnsi="Times New Roman"/>
          <w:color w:val="auto"/>
          <w:sz w:val="24"/>
          <w:szCs w:val="24"/>
        </w:rPr>
        <w:t>имеющих</w:t>
      </w:r>
      <w:proofErr w:type="gramEnd"/>
      <w:r w:rsidRPr="00FF15DD">
        <w:rPr>
          <w:rFonts w:ascii="Times New Roman" w:hAnsi="Times New Roman"/>
          <w:color w:val="auto"/>
          <w:sz w:val="24"/>
          <w:szCs w:val="24"/>
        </w:rPr>
        <w:t xml:space="preserve"> значения, </w:t>
      </w:r>
      <w:r w:rsidR="000F2DD6" w:rsidRPr="00FF15DD">
        <w:rPr>
          <w:rFonts w:ascii="Times New Roman" w:hAnsi="Times New Roman"/>
          <w:color w:val="auto"/>
          <w:sz w:val="24"/>
          <w:szCs w:val="24"/>
        </w:rPr>
        <w:t xml:space="preserve">занижающие </w:t>
      </w:r>
      <w:r w:rsidRPr="00FF15DD">
        <w:rPr>
          <w:rFonts w:ascii="Times New Roman" w:hAnsi="Times New Roman"/>
          <w:color w:val="auto"/>
          <w:sz w:val="24"/>
          <w:szCs w:val="24"/>
        </w:rPr>
        <w:t>надлежаще</w:t>
      </w:r>
      <w:r w:rsidR="000F2DD6" w:rsidRPr="00FF15DD">
        <w:rPr>
          <w:rFonts w:ascii="Times New Roman" w:hAnsi="Times New Roman"/>
          <w:color w:val="auto"/>
          <w:sz w:val="24"/>
          <w:szCs w:val="24"/>
        </w:rPr>
        <w:t>е</w:t>
      </w:r>
      <w:r w:rsidRPr="00FF15DD">
        <w:rPr>
          <w:rFonts w:ascii="Times New Roman" w:hAnsi="Times New Roman"/>
          <w:color w:val="auto"/>
          <w:sz w:val="24"/>
          <w:szCs w:val="24"/>
        </w:rPr>
        <w:t xml:space="preserve"> качеств</w:t>
      </w:r>
      <w:r w:rsidR="000F2DD6" w:rsidRPr="00FF15DD">
        <w:rPr>
          <w:rFonts w:ascii="Times New Roman" w:hAnsi="Times New Roman"/>
          <w:color w:val="auto"/>
          <w:sz w:val="24"/>
          <w:szCs w:val="24"/>
        </w:rPr>
        <w:t>о</w:t>
      </w:r>
      <w:r w:rsidRPr="00FF15DD">
        <w:rPr>
          <w:rFonts w:ascii="Times New Roman" w:hAnsi="Times New Roman"/>
          <w:color w:val="auto"/>
          <w:sz w:val="24"/>
          <w:szCs w:val="24"/>
        </w:rPr>
        <w:t xml:space="preserve"> финансового менеджмента</w:t>
      </w:r>
    </w:p>
    <w:p w:rsidR="00314905" w:rsidRPr="00FF15DD" w:rsidRDefault="00314905" w:rsidP="008161C0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1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417"/>
        <w:gridCol w:w="3119"/>
      </w:tblGrid>
      <w:tr w:rsidR="00B87DA0" w:rsidRPr="007E5226" w:rsidTr="00B87DA0">
        <w:tc>
          <w:tcPr>
            <w:tcW w:w="567" w:type="dxa"/>
            <w:vMerge w:val="restart"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443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8A7443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8A7443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443">
              <w:rPr>
                <w:rFonts w:ascii="Times New Roman" w:hAnsi="Times New Roman"/>
                <w:b/>
                <w:bCs/>
                <w:sz w:val="20"/>
              </w:rPr>
              <w:t>Показатель КФМ</w:t>
            </w:r>
          </w:p>
        </w:tc>
        <w:tc>
          <w:tcPr>
            <w:tcW w:w="5670" w:type="dxa"/>
            <w:gridSpan w:val="3"/>
            <w:vAlign w:val="center"/>
          </w:tcPr>
          <w:p w:rsidR="00B87DA0" w:rsidRPr="008A7443" w:rsidRDefault="00B87DA0" w:rsidP="00BD50B1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443">
              <w:rPr>
                <w:rFonts w:ascii="Times New Roman" w:hAnsi="Times New Roman"/>
                <w:b/>
                <w:bCs/>
                <w:sz w:val="20"/>
              </w:rPr>
              <w:t xml:space="preserve">Число ГАБС, </w:t>
            </w:r>
            <w:proofErr w:type="gramStart"/>
            <w:r w:rsidRPr="008A7443">
              <w:rPr>
                <w:rFonts w:ascii="Times New Roman" w:hAnsi="Times New Roman"/>
                <w:b/>
                <w:bCs/>
                <w:sz w:val="20"/>
              </w:rPr>
              <w:t>имеющих</w:t>
            </w:r>
            <w:proofErr w:type="gramEnd"/>
            <w:r w:rsidRPr="008A7443">
              <w:rPr>
                <w:rFonts w:ascii="Times New Roman" w:hAnsi="Times New Roman"/>
                <w:b/>
                <w:bCs/>
                <w:sz w:val="20"/>
              </w:rPr>
              <w:t xml:space="preserve"> качество финансового менеджмента по показателю</w:t>
            </w:r>
            <w:r w:rsidR="00BD50B1" w:rsidRPr="008A7443">
              <w:rPr>
                <w:rFonts w:ascii="Times New Roman" w:hAnsi="Times New Roman"/>
                <w:b/>
                <w:bCs/>
                <w:sz w:val="20"/>
              </w:rPr>
              <w:t xml:space="preserve"> менее 70%</w:t>
            </w:r>
          </w:p>
        </w:tc>
      </w:tr>
      <w:tr w:rsidR="00B87DA0" w:rsidRPr="007E5226" w:rsidTr="00B87DA0">
        <w:tc>
          <w:tcPr>
            <w:tcW w:w="567" w:type="dxa"/>
            <w:vMerge/>
          </w:tcPr>
          <w:p w:rsidR="00B87DA0" w:rsidRPr="008A7443" w:rsidRDefault="00B87DA0" w:rsidP="008161C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443">
              <w:rPr>
                <w:rFonts w:ascii="Times New Roman" w:hAnsi="Times New Roman"/>
                <w:b/>
                <w:sz w:val="20"/>
              </w:rPr>
              <w:t>Отчетный год</w:t>
            </w:r>
          </w:p>
        </w:tc>
      </w:tr>
      <w:tr w:rsidR="00B87DA0" w:rsidRPr="007E5226" w:rsidTr="007A565C">
        <w:tc>
          <w:tcPr>
            <w:tcW w:w="567" w:type="dxa"/>
            <w:vMerge/>
          </w:tcPr>
          <w:p w:rsidR="00B87DA0" w:rsidRPr="008A7443" w:rsidRDefault="00B87DA0" w:rsidP="008161C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Merge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ind w:firstLine="709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443">
              <w:rPr>
                <w:rFonts w:ascii="Times New Roman" w:hAnsi="Times New Roman"/>
                <w:b/>
                <w:sz w:val="20"/>
              </w:rPr>
              <w:t xml:space="preserve">Кол-во </w:t>
            </w:r>
            <w:proofErr w:type="gramStart"/>
            <w:r w:rsidRPr="008A7443">
              <w:rPr>
                <w:rFonts w:ascii="Times New Roman" w:hAnsi="Times New Roman"/>
                <w:b/>
                <w:sz w:val="20"/>
              </w:rPr>
              <w:t>оцениваемых</w:t>
            </w:r>
            <w:proofErr w:type="gramEnd"/>
            <w:r w:rsidRPr="008A7443">
              <w:rPr>
                <w:rFonts w:ascii="Times New Roman" w:hAnsi="Times New Roman"/>
                <w:b/>
                <w:sz w:val="20"/>
              </w:rPr>
              <w:t xml:space="preserve"> ГАБС</w:t>
            </w:r>
          </w:p>
        </w:tc>
        <w:tc>
          <w:tcPr>
            <w:tcW w:w="1417" w:type="dxa"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443">
              <w:rPr>
                <w:rFonts w:ascii="Times New Roman" w:hAnsi="Times New Roman"/>
                <w:b/>
                <w:sz w:val="20"/>
              </w:rPr>
              <w:t>Кол-во ГАБС с наименьшим показателем</w:t>
            </w:r>
          </w:p>
        </w:tc>
        <w:tc>
          <w:tcPr>
            <w:tcW w:w="3119" w:type="dxa"/>
            <w:vAlign w:val="center"/>
          </w:tcPr>
          <w:p w:rsidR="00B87DA0" w:rsidRPr="008A7443" w:rsidRDefault="00B87DA0" w:rsidP="00B87DA0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A7443">
              <w:rPr>
                <w:rFonts w:ascii="Times New Roman" w:hAnsi="Times New Roman"/>
                <w:b/>
                <w:sz w:val="20"/>
              </w:rPr>
              <w:t>ГАБС и процент по показателю</w:t>
            </w:r>
          </w:p>
        </w:tc>
      </w:tr>
      <w:tr w:rsidR="007A565C" w:rsidRPr="007E5226" w:rsidTr="007A565C">
        <w:tc>
          <w:tcPr>
            <w:tcW w:w="567" w:type="dxa"/>
          </w:tcPr>
          <w:p w:rsidR="007A565C" w:rsidRPr="00B555F7" w:rsidRDefault="007A565C" w:rsidP="00B4680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A565C" w:rsidRPr="00B555F7" w:rsidRDefault="007A565C" w:rsidP="00B4680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Р13. Среднеквартальный процент отклонения планируемых и фактических кассовых выплат ГАБС</w:t>
            </w:r>
          </w:p>
        </w:tc>
        <w:tc>
          <w:tcPr>
            <w:tcW w:w="1134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 xml:space="preserve">Администрация – 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50,0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47D" w:rsidRPr="007E5226" w:rsidTr="007A565C">
        <w:tc>
          <w:tcPr>
            <w:tcW w:w="567" w:type="dxa"/>
          </w:tcPr>
          <w:p w:rsidR="0078247D" w:rsidRPr="00B555F7" w:rsidRDefault="0078247D" w:rsidP="00B4680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8247D" w:rsidRPr="00B555F7" w:rsidRDefault="0078247D" w:rsidP="00B4680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Р15. Процент форм годовой бюджетной отчетности, представленной ГАБС без ошибок</w:t>
            </w:r>
          </w:p>
        </w:tc>
        <w:tc>
          <w:tcPr>
            <w:tcW w:w="1134" w:type="dxa"/>
          </w:tcPr>
          <w:p w:rsidR="0078247D" w:rsidRPr="00B555F7" w:rsidRDefault="0078247D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247D" w:rsidRPr="00B555F7" w:rsidRDefault="0078247D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8247D" w:rsidRPr="00B555F7" w:rsidRDefault="0078247D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 xml:space="preserve">Администрация – 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62,0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8247D" w:rsidRPr="00B555F7" w:rsidRDefault="0078247D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5C" w:rsidRPr="007E5226" w:rsidTr="007A565C">
        <w:tc>
          <w:tcPr>
            <w:tcW w:w="567" w:type="dxa"/>
          </w:tcPr>
          <w:p w:rsidR="007A565C" w:rsidRPr="00B555F7" w:rsidRDefault="0078247D" w:rsidP="00B4680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A565C" w:rsidRPr="00B555F7" w:rsidRDefault="007A565C" w:rsidP="00B46804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Р18. Соотношение фактических кассовых выплат и плановых объемов бюджетных ассигнований ГАБС по источникам финансирования дефицита</w:t>
            </w:r>
          </w:p>
        </w:tc>
        <w:tc>
          <w:tcPr>
            <w:tcW w:w="1134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 xml:space="preserve">Администрация – 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61,1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65C" w:rsidRPr="007E5226" w:rsidTr="007A565C">
        <w:tc>
          <w:tcPr>
            <w:tcW w:w="567" w:type="dxa"/>
          </w:tcPr>
          <w:p w:rsidR="007A565C" w:rsidRPr="00B555F7" w:rsidRDefault="0078247D" w:rsidP="00B46804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A565C" w:rsidRPr="00B555F7" w:rsidRDefault="007A565C" w:rsidP="005822A2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 xml:space="preserve">P21.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</w:t>
            </w:r>
            <w:r w:rsidRPr="00B555F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1134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F7">
              <w:rPr>
                <w:rFonts w:ascii="Times New Roman" w:hAnsi="Times New Roman"/>
                <w:sz w:val="24"/>
                <w:szCs w:val="24"/>
              </w:rPr>
              <w:t xml:space="preserve">Администрация – 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50,0</w:t>
            </w:r>
            <w:r w:rsidRPr="00B555F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A565C" w:rsidRPr="00B555F7" w:rsidRDefault="007A565C" w:rsidP="005822A2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65C" w:rsidRDefault="007A565C" w:rsidP="006966B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E3083" w:rsidRDefault="00DE3083" w:rsidP="006966B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DE3083">
        <w:rPr>
          <w:sz w:val="28"/>
          <w:szCs w:val="28"/>
        </w:rPr>
        <w:t xml:space="preserve">Итоговый </w:t>
      </w:r>
      <w:r w:rsidR="006F7AE2" w:rsidRPr="00DE3083">
        <w:rPr>
          <w:sz w:val="28"/>
          <w:szCs w:val="28"/>
        </w:rPr>
        <w:t>Рейтинг главн</w:t>
      </w:r>
      <w:r w:rsidR="00311499">
        <w:rPr>
          <w:sz w:val="28"/>
          <w:szCs w:val="28"/>
        </w:rPr>
        <w:t>ого</w:t>
      </w:r>
      <w:r w:rsidR="006F7AE2" w:rsidRPr="00DE3083">
        <w:rPr>
          <w:sz w:val="28"/>
          <w:szCs w:val="28"/>
        </w:rPr>
        <w:t xml:space="preserve"> администратор</w:t>
      </w:r>
      <w:r w:rsidR="00311499">
        <w:rPr>
          <w:sz w:val="28"/>
          <w:szCs w:val="28"/>
        </w:rPr>
        <w:t>а</w:t>
      </w:r>
      <w:r w:rsidR="006F7AE2" w:rsidRPr="00DE3083">
        <w:rPr>
          <w:sz w:val="28"/>
          <w:szCs w:val="28"/>
        </w:rPr>
        <w:t xml:space="preserve"> средств бюджета </w:t>
      </w:r>
      <w:r w:rsidR="007A565C" w:rsidRPr="00F67AFC">
        <w:rPr>
          <w:sz w:val="28"/>
          <w:szCs w:val="28"/>
        </w:rPr>
        <w:t>Вистинско</w:t>
      </w:r>
      <w:r w:rsidR="007A565C">
        <w:rPr>
          <w:sz w:val="28"/>
          <w:szCs w:val="28"/>
        </w:rPr>
        <w:t>го</w:t>
      </w:r>
      <w:r w:rsidR="007A565C" w:rsidRPr="00F67AFC">
        <w:rPr>
          <w:sz w:val="28"/>
          <w:szCs w:val="28"/>
        </w:rPr>
        <w:t xml:space="preserve"> сельско</w:t>
      </w:r>
      <w:r w:rsidR="007A565C">
        <w:rPr>
          <w:sz w:val="28"/>
          <w:szCs w:val="28"/>
        </w:rPr>
        <w:t>го</w:t>
      </w:r>
      <w:r w:rsidR="007A565C" w:rsidRPr="00F67AFC">
        <w:rPr>
          <w:sz w:val="28"/>
          <w:szCs w:val="28"/>
        </w:rPr>
        <w:t xml:space="preserve"> поселени</w:t>
      </w:r>
      <w:r w:rsidR="007A565C">
        <w:rPr>
          <w:sz w:val="28"/>
          <w:szCs w:val="28"/>
        </w:rPr>
        <w:t>я</w:t>
      </w:r>
      <w:r w:rsidR="006F7AE2" w:rsidRPr="00DE3083">
        <w:rPr>
          <w:sz w:val="28"/>
          <w:szCs w:val="28"/>
        </w:rPr>
        <w:t xml:space="preserve"> по качеству финансового менеджмента за 202</w:t>
      </w:r>
      <w:r w:rsidR="007A565C">
        <w:rPr>
          <w:sz w:val="28"/>
          <w:szCs w:val="28"/>
        </w:rPr>
        <w:t>3</w:t>
      </w:r>
      <w:r w:rsidR="006F7AE2" w:rsidRPr="00DE3083">
        <w:rPr>
          <w:sz w:val="28"/>
          <w:szCs w:val="28"/>
        </w:rPr>
        <w:t xml:space="preserve"> год</w:t>
      </w:r>
      <w:r w:rsidRPr="00DE3083">
        <w:rPr>
          <w:sz w:val="28"/>
          <w:szCs w:val="28"/>
        </w:rPr>
        <w:t xml:space="preserve"> представлен в таблице </w:t>
      </w:r>
      <w:r w:rsidR="00311499">
        <w:rPr>
          <w:sz w:val="28"/>
          <w:szCs w:val="28"/>
        </w:rPr>
        <w:t>3</w:t>
      </w:r>
      <w:r w:rsidRPr="00DE3083">
        <w:rPr>
          <w:sz w:val="28"/>
          <w:szCs w:val="28"/>
        </w:rPr>
        <w:t>.</w:t>
      </w:r>
    </w:p>
    <w:p w:rsidR="004913C3" w:rsidRDefault="004913C3" w:rsidP="004F5FE8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6F7AE2" w:rsidRPr="00DE3083" w:rsidRDefault="00DE3083" w:rsidP="004F5FE8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DE3083">
        <w:rPr>
          <w:b/>
          <w:sz w:val="28"/>
          <w:szCs w:val="28"/>
        </w:rPr>
        <w:t xml:space="preserve">Таблица </w:t>
      </w:r>
      <w:r w:rsidR="00311499">
        <w:rPr>
          <w:b/>
          <w:sz w:val="28"/>
          <w:szCs w:val="28"/>
        </w:rPr>
        <w:t>3</w:t>
      </w:r>
      <w:r w:rsidRPr="00DE3083">
        <w:rPr>
          <w:b/>
          <w:sz w:val="28"/>
          <w:szCs w:val="28"/>
        </w:rPr>
        <w:t xml:space="preserve"> </w:t>
      </w:r>
    </w:p>
    <w:p w:rsidR="006F7AE2" w:rsidRDefault="006F7AE2" w:rsidP="006F7A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Рейтинг г</w:t>
      </w:r>
      <w:r w:rsidRPr="00B81CF1">
        <w:rPr>
          <w:sz w:val="28"/>
          <w:szCs w:val="28"/>
        </w:rPr>
        <w:t>лавн</w:t>
      </w:r>
      <w:r w:rsidR="00DC51B5">
        <w:rPr>
          <w:sz w:val="28"/>
          <w:szCs w:val="28"/>
        </w:rPr>
        <w:t>ого</w:t>
      </w:r>
      <w:r w:rsidRPr="00B81CF1">
        <w:rPr>
          <w:sz w:val="28"/>
          <w:szCs w:val="28"/>
        </w:rPr>
        <w:t xml:space="preserve"> администратор</w:t>
      </w:r>
      <w:r w:rsidR="00DC51B5">
        <w:rPr>
          <w:sz w:val="28"/>
          <w:szCs w:val="28"/>
        </w:rPr>
        <w:t>а</w:t>
      </w:r>
      <w:r w:rsidRPr="00B81CF1">
        <w:rPr>
          <w:sz w:val="28"/>
          <w:szCs w:val="28"/>
        </w:rPr>
        <w:t xml:space="preserve"> средств бюджета, име</w:t>
      </w:r>
      <w:r>
        <w:rPr>
          <w:sz w:val="28"/>
          <w:szCs w:val="28"/>
        </w:rPr>
        <w:t>ющих</w:t>
      </w:r>
      <w:r w:rsidRPr="00B81CF1">
        <w:rPr>
          <w:sz w:val="28"/>
          <w:szCs w:val="28"/>
        </w:rPr>
        <w:t xml:space="preserve"> подведомственные муниципальные учреждения</w:t>
      </w:r>
    </w:p>
    <w:p w:rsidR="00311499" w:rsidRPr="00B81CF1" w:rsidRDefault="00311499" w:rsidP="006F7A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701"/>
        <w:gridCol w:w="1701"/>
        <w:gridCol w:w="2409"/>
      </w:tblGrid>
      <w:tr w:rsidR="006F7AE2" w:rsidRPr="001B1D4B" w:rsidTr="00F67AFC">
        <w:trPr>
          <w:trHeight w:val="1100"/>
        </w:trPr>
        <w:tc>
          <w:tcPr>
            <w:tcW w:w="3890" w:type="dxa"/>
            <w:vAlign w:val="center"/>
          </w:tcPr>
          <w:p w:rsidR="006F7AE2" w:rsidRPr="008A7443" w:rsidRDefault="006F7AE2" w:rsidP="006F7AE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A7443">
              <w:rPr>
                <w:b/>
              </w:rPr>
              <w:t>Наименование ГАБС</w:t>
            </w:r>
          </w:p>
        </w:tc>
        <w:tc>
          <w:tcPr>
            <w:tcW w:w="1701" w:type="dxa"/>
            <w:vAlign w:val="center"/>
          </w:tcPr>
          <w:p w:rsidR="006F7AE2" w:rsidRPr="008A7443" w:rsidRDefault="006F7AE2" w:rsidP="006F7AE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A7443">
              <w:rPr>
                <w:b/>
              </w:rPr>
              <w:t>Значение интегральной оценки</w:t>
            </w:r>
          </w:p>
        </w:tc>
        <w:tc>
          <w:tcPr>
            <w:tcW w:w="1701" w:type="dxa"/>
            <w:vAlign w:val="center"/>
          </w:tcPr>
          <w:p w:rsidR="006F7AE2" w:rsidRPr="008A7443" w:rsidRDefault="006F7AE2" w:rsidP="006F7AE2">
            <w:pPr>
              <w:jc w:val="center"/>
              <w:rPr>
                <w:rFonts w:eastAsia="Calibri"/>
                <w:b/>
              </w:rPr>
            </w:pPr>
            <w:r w:rsidRPr="008A7443">
              <w:rPr>
                <w:b/>
              </w:rPr>
              <w:t>Степень качества финансового менеджмента</w:t>
            </w:r>
          </w:p>
        </w:tc>
        <w:tc>
          <w:tcPr>
            <w:tcW w:w="2409" w:type="dxa"/>
            <w:vAlign w:val="center"/>
          </w:tcPr>
          <w:p w:rsidR="006F7AE2" w:rsidRPr="008A7443" w:rsidRDefault="006F7AE2" w:rsidP="006F7AE2">
            <w:pPr>
              <w:jc w:val="center"/>
              <w:rPr>
                <w:b/>
              </w:rPr>
            </w:pPr>
            <w:r w:rsidRPr="008A7443">
              <w:rPr>
                <w:b/>
              </w:rPr>
              <w:t>Характеристика степени</w:t>
            </w:r>
          </w:p>
        </w:tc>
      </w:tr>
      <w:tr w:rsidR="00311499" w:rsidRPr="001B1D4B" w:rsidTr="00F67AFC">
        <w:trPr>
          <w:trHeight w:val="793"/>
        </w:trPr>
        <w:tc>
          <w:tcPr>
            <w:tcW w:w="3890" w:type="dxa"/>
          </w:tcPr>
          <w:p w:rsidR="00311499" w:rsidRPr="00311499" w:rsidRDefault="00311499" w:rsidP="00F67AFC">
            <w:pPr>
              <w:widowControl w:val="0"/>
              <w:autoSpaceDE w:val="0"/>
              <w:autoSpaceDN w:val="0"/>
              <w:jc w:val="center"/>
            </w:pPr>
            <w:r w:rsidRPr="00311499">
              <w:rPr>
                <w:bCs/>
              </w:rPr>
              <w:t xml:space="preserve">Администрация </w:t>
            </w:r>
            <w:r w:rsidR="007A565C" w:rsidRPr="007A565C">
              <w:rPr>
                <w:bCs/>
              </w:rPr>
              <w:t>Вистинского сельского поселения</w:t>
            </w:r>
          </w:p>
        </w:tc>
        <w:tc>
          <w:tcPr>
            <w:tcW w:w="1701" w:type="dxa"/>
            <w:vAlign w:val="center"/>
          </w:tcPr>
          <w:p w:rsidR="00311499" w:rsidRPr="00311499" w:rsidRDefault="00B555F7" w:rsidP="00311499">
            <w:pPr>
              <w:widowControl w:val="0"/>
              <w:autoSpaceDE w:val="0"/>
              <w:autoSpaceDN w:val="0"/>
              <w:jc w:val="center"/>
            </w:pPr>
            <w:r>
              <w:t>93,0</w:t>
            </w:r>
          </w:p>
        </w:tc>
        <w:tc>
          <w:tcPr>
            <w:tcW w:w="1701" w:type="dxa"/>
            <w:vAlign w:val="center"/>
          </w:tcPr>
          <w:p w:rsidR="00311499" w:rsidRPr="00DC51B5" w:rsidRDefault="00311499" w:rsidP="00311499">
            <w:pPr>
              <w:widowControl w:val="0"/>
              <w:autoSpaceDE w:val="0"/>
              <w:autoSpaceDN w:val="0"/>
              <w:jc w:val="center"/>
            </w:pPr>
            <w:r w:rsidRPr="00311499">
              <w:t>I</w:t>
            </w:r>
          </w:p>
        </w:tc>
        <w:tc>
          <w:tcPr>
            <w:tcW w:w="2409" w:type="dxa"/>
            <w:vAlign w:val="center"/>
          </w:tcPr>
          <w:p w:rsidR="00311499" w:rsidRPr="00311499" w:rsidRDefault="00DC51B5" w:rsidP="00311499">
            <w:pPr>
              <w:widowControl w:val="0"/>
              <w:autoSpaceDE w:val="0"/>
              <w:autoSpaceDN w:val="0"/>
              <w:jc w:val="center"/>
            </w:pPr>
            <w:r>
              <w:t>высокое</w:t>
            </w:r>
            <w:r w:rsidR="00311499" w:rsidRPr="00311499">
              <w:t xml:space="preserve"> качество финансового менеджмента</w:t>
            </w:r>
          </w:p>
        </w:tc>
      </w:tr>
    </w:tbl>
    <w:p w:rsidR="00311499" w:rsidRDefault="00311499" w:rsidP="006F7AE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316F" w:rsidRDefault="00311499" w:rsidP="00311499">
      <w:pPr>
        <w:ind w:firstLine="708"/>
        <w:jc w:val="both"/>
        <w:rPr>
          <w:sz w:val="28"/>
          <w:szCs w:val="28"/>
        </w:rPr>
      </w:pPr>
      <w:r w:rsidRPr="001B1D4B">
        <w:rPr>
          <w:sz w:val="28"/>
          <w:szCs w:val="28"/>
        </w:rPr>
        <w:t xml:space="preserve">Ранжирование </w:t>
      </w:r>
      <w:r>
        <w:rPr>
          <w:sz w:val="28"/>
          <w:szCs w:val="28"/>
        </w:rPr>
        <w:t>г</w:t>
      </w:r>
      <w:r w:rsidRPr="00B81CF1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B81CF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B81CF1">
        <w:rPr>
          <w:sz w:val="28"/>
          <w:szCs w:val="28"/>
        </w:rPr>
        <w:t xml:space="preserve"> средств бюджета</w:t>
      </w:r>
      <w:r w:rsidRPr="001B1D4B">
        <w:rPr>
          <w:sz w:val="28"/>
          <w:szCs w:val="28"/>
        </w:rPr>
        <w:t xml:space="preserve"> </w:t>
      </w:r>
      <w:proofErr w:type="gramStart"/>
      <w:r w:rsidRPr="001B1D4B">
        <w:rPr>
          <w:sz w:val="28"/>
          <w:szCs w:val="28"/>
        </w:rPr>
        <w:t>в соответствии с процентным отношением полученных значений сводной оценки качества от максимального уровня качества с указанием присвоенной степени качества финансового ме</w:t>
      </w:r>
      <w:r>
        <w:rPr>
          <w:sz w:val="28"/>
          <w:szCs w:val="28"/>
        </w:rPr>
        <w:t>неджмента отражено в</w:t>
      </w:r>
      <w:r w:rsidR="00DC316F" w:rsidRPr="001B1D4B">
        <w:rPr>
          <w:sz w:val="28"/>
          <w:szCs w:val="28"/>
        </w:rPr>
        <w:t xml:space="preserve"> </w:t>
      </w:r>
      <w:r w:rsidR="009E5858">
        <w:rPr>
          <w:sz w:val="28"/>
          <w:szCs w:val="28"/>
        </w:rPr>
        <w:t>таблице</w:t>
      </w:r>
      <w:proofErr w:type="gramEnd"/>
      <w:r w:rsidR="009E585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E5858">
        <w:rPr>
          <w:sz w:val="28"/>
          <w:szCs w:val="28"/>
        </w:rPr>
        <w:t>.</w:t>
      </w:r>
    </w:p>
    <w:p w:rsidR="00643EEB" w:rsidRDefault="00643EEB" w:rsidP="00311499">
      <w:pPr>
        <w:ind w:firstLine="708"/>
        <w:jc w:val="both"/>
        <w:rPr>
          <w:sz w:val="28"/>
          <w:szCs w:val="28"/>
        </w:rPr>
      </w:pPr>
    </w:p>
    <w:p w:rsidR="000A0775" w:rsidRDefault="009E5858" w:rsidP="000A0775">
      <w:pPr>
        <w:jc w:val="right"/>
        <w:rPr>
          <w:sz w:val="28"/>
          <w:szCs w:val="28"/>
        </w:rPr>
      </w:pPr>
      <w:r w:rsidRPr="000A0775">
        <w:rPr>
          <w:b/>
          <w:sz w:val="28"/>
          <w:szCs w:val="28"/>
        </w:rPr>
        <w:t xml:space="preserve">Таблица </w:t>
      </w:r>
      <w:r w:rsidR="00311499">
        <w:rPr>
          <w:b/>
          <w:sz w:val="28"/>
          <w:szCs w:val="28"/>
        </w:rPr>
        <w:t>4</w:t>
      </w:r>
      <w:r w:rsidR="000A0775">
        <w:rPr>
          <w:b/>
          <w:sz w:val="28"/>
          <w:szCs w:val="28"/>
        </w:rPr>
        <w:t xml:space="preserve"> 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01"/>
        <w:gridCol w:w="1275"/>
        <w:gridCol w:w="2384"/>
        <w:gridCol w:w="26"/>
      </w:tblGrid>
      <w:tr w:rsidR="00DC51B5" w:rsidRPr="00DC51B5" w:rsidTr="00B555F7">
        <w:trPr>
          <w:gridAfter w:val="1"/>
          <w:wAfter w:w="26" w:type="dxa"/>
          <w:trHeight w:val="290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B5" w:rsidRPr="00F67AFC" w:rsidRDefault="00DC51B5" w:rsidP="00DC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AF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B5" w:rsidRPr="00F67AFC" w:rsidRDefault="00DC51B5" w:rsidP="00DC51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AFC">
              <w:rPr>
                <w:b/>
                <w:bCs/>
                <w:color w:val="000000"/>
                <w:sz w:val="20"/>
                <w:szCs w:val="20"/>
              </w:rPr>
              <w:t>Вес показателя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B5" w:rsidRPr="00F67AFC" w:rsidRDefault="00DC51B5" w:rsidP="00DC51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AFC">
              <w:rPr>
                <w:b/>
                <w:bCs/>
                <w:sz w:val="20"/>
                <w:szCs w:val="20"/>
              </w:rPr>
              <w:t xml:space="preserve"> КОД ГАБС </w:t>
            </w:r>
          </w:p>
        </w:tc>
      </w:tr>
      <w:tr w:rsidR="00DC51B5" w:rsidRPr="00DC51B5" w:rsidTr="00B555F7">
        <w:trPr>
          <w:gridAfter w:val="1"/>
          <w:wAfter w:w="26" w:type="dxa"/>
          <w:trHeight w:val="300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B5" w:rsidRPr="00F67AFC" w:rsidRDefault="00DC51B5" w:rsidP="00DC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B5" w:rsidRPr="00F67AFC" w:rsidRDefault="00DC51B5" w:rsidP="00DC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B5" w:rsidRPr="00F67AFC" w:rsidRDefault="00DC51B5" w:rsidP="00F67AFC">
            <w:pPr>
              <w:jc w:val="center"/>
              <w:rPr>
                <w:b/>
                <w:bCs/>
                <w:sz w:val="20"/>
                <w:szCs w:val="20"/>
              </w:rPr>
            </w:pPr>
            <w:r w:rsidRPr="00F67AFC">
              <w:rPr>
                <w:b/>
                <w:bCs/>
                <w:sz w:val="20"/>
                <w:szCs w:val="20"/>
              </w:rPr>
              <w:t>90</w:t>
            </w:r>
            <w:r w:rsidR="00F67AFC" w:rsidRPr="00F67A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C51B5" w:rsidRPr="00DC51B5" w:rsidTr="00B555F7">
        <w:trPr>
          <w:gridAfter w:val="1"/>
          <w:wAfter w:w="26" w:type="dxa"/>
          <w:trHeight w:val="242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B5" w:rsidRPr="00F67AFC" w:rsidRDefault="00DC51B5" w:rsidP="00DC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1B5" w:rsidRPr="00F67AFC" w:rsidRDefault="00DC51B5" w:rsidP="00DC51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B5" w:rsidRPr="00F67AFC" w:rsidRDefault="00DC51B5" w:rsidP="00DC51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7AFC">
              <w:rPr>
                <w:b/>
                <w:bCs/>
                <w:sz w:val="20"/>
                <w:szCs w:val="20"/>
              </w:rPr>
              <w:t xml:space="preserve"> Администрация </w:t>
            </w:r>
          </w:p>
        </w:tc>
      </w:tr>
      <w:tr w:rsidR="00643EEB" w:rsidTr="00B555F7">
        <w:trPr>
          <w:trHeight w:val="97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3EEB" w:rsidRPr="00643EEB" w:rsidRDefault="00643E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 xml:space="preserve">Степень качества финансового менеджмента                                                                                                               </w:t>
            </w:r>
            <w:proofErr w:type="spellStart"/>
            <w:r w:rsidRPr="00643EEB">
              <w:rPr>
                <w:b/>
                <w:bCs/>
                <w:color w:val="000000"/>
                <w:sz w:val="22"/>
                <w:szCs w:val="22"/>
              </w:rPr>
              <w:t>Gi</w:t>
            </w:r>
            <w:proofErr w:type="spellEnd"/>
            <w:r w:rsidRPr="00643EEB">
              <w:rPr>
                <w:b/>
                <w:bCs/>
                <w:color w:val="000000"/>
                <w:sz w:val="22"/>
                <w:szCs w:val="22"/>
              </w:rPr>
              <w:t xml:space="preserve"> &gt; 85</w:t>
            </w:r>
            <w:r w:rsidRPr="00643EEB">
              <w:rPr>
                <w:b/>
                <w:bCs/>
                <w:color w:val="000000"/>
                <w:sz w:val="22"/>
                <w:szCs w:val="22"/>
              </w:rPr>
              <w:br/>
              <w:t xml:space="preserve">70 &lt; </w:t>
            </w:r>
            <w:proofErr w:type="spellStart"/>
            <w:r w:rsidRPr="00643EEB">
              <w:rPr>
                <w:b/>
                <w:bCs/>
                <w:color w:val="000000"/>
                <w:sz w:val="22"/>
                <w:szCs w:val="22"/>
              </w:rPr>
              <w:t>Gi</w:t>
            </w:r>
            <w:proofErr w:type="spellEnd"/>
            <w:r w:rsidRPr="00643EEB">
              <w:rPr>
                <w:b/>
                <w:bCs/>
                <w:color w:val="000000"/>
                <w:sz w:val="22"/>
                <w:szCs w:val="22"/>
              </w:rPr>
              <w:t xml:space="preserve"> &lt;= 85</w:t>
            </w:r>
            <w:r w:rsidRPr="00643EEB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643EEB">
              <w:rPr>
                <w:b/>
                <w:bCs/>
                <w:color w:val="000000"/>
                <w:sz w:val="22"/>
                <w:szCs w:val="22"/>
              </w:rPr>
              <w:t>Gi</w:t>
            </w:r>
            <w:proofErr w:type="spellEnd"/>
            <w:r w:rsidRPr="00643EEB">
              <w:rPr>
                <w:b/>
                <w:bCs/>
                <w:color w:val="000000"/>
                <w:sz w:val="22"/>
                <w:szCs w:val="22"/>
              </w:rPr>
              <w:t xml:space="preserve"> &lt;= 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3EEB" w:rsidRPr="00643EEB" w:rsidRDefault="00643EEB" w:rsidP="00F43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EB" w:rsidRPr="00643EEB" w:rsidRDefault="00643EEB">
            <w:pPr>
              <w:jc w:val="right"/>
              <w:rPr>
                <w:sz w:val="22"/>
                <w:szCs w:val="22"/>
              </w:rPr>
            </w:pPr>
            <w:r w:rsidRPr="00643EEB">
              <w:rPr>
                <w:sz w:val="22"/>
                <w:szCs w:val="22"/>
              </w:rPr>
              <w:t> </w:t>
            </w:r>
          </w:p>
        </w:tc>
      </w:tr>
      <w:tr w:rsidR="00B555F7" w:rsidTr="00B555F7">
        <w:trPr>
          <w:trHeight w:val="25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BF58B"/>
            <w:noWrap/>
            <w:vAlign w:val="bottom"/>
            <w:hideMark/>
          </w:tcPr>
          <w:p w:rsidR="00B555F7" w:rsidRPr="00643EEB" w:rsidRDefault="00B55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 xml:space="preserve"> Итоговая интегральная оценка (</w:t>
            </w:r>
            <w:proofErr w:type="spellStart"/>
            <w:r w:rsidRPr="00643EEB">
              <w:rPr>
                <w:b/>
                <w:bCs/>
                <w:color w:val="000000"/>
                <w:sz w:val="22"/>
                <w:szCs w:val="22"/>
              </w:rPr>
              <w:t>Gi</w:t>
            </w:r>
            <w:proofErr w:type="spellEnd"/>
            <w:r w:rsidRPr="00643EEB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F58B"/>
            <w:noWrap/>
            <w:vAlign w:val="center"/>
            <w:hideMark/>
          </w:tcPr>
          <w:p w:rsidR="00B555F7" w:rsidRPr="00643EEB" w:rsidRDefault="00B555F7" w:rsidP="00F43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BF58B"/>
            <w:vAlign w:val="center"/>
          </w:tcPr>
          <w:p w:rsidR="00B555F7" w:rsidRPr="00B555F7" w:rsidRDefault="00B555F7" w:rsidP="00B555F7">
            <w:pPr>
              <w:jc w:val="center"/>
              <w:rPr>
                <w:b/>
              </w:rPr>
            </w:pPr>
            <w:r w:rsidRPr="00B555F7">
              <w:rPr>
                <w:b/>
              </w:rPr>
              <w:t>93.0</w:t>
            </w:r>
          </w:p>
        </w:tc>
      </w:tr>
      <w:tr w:rsidR="00B555F7" w:rsidTr="00B555F7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 xml:space="preserve">Всего баллов по показателям в соответствии с оценкой КФМ по каждому ГАБС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 w:rsidP="00F43996">
            <w:pPr>
              <w:jc w:val="center"/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5361A8" w:rsidRDefault="00B555F7" w:rsidP="00B555F7">
            <w:pPr>
              <w:jc w:val="center"/>
            </w:pPr>
            <w:r w:rsidRPr="005361A8">
              <w:t>108.0</w:t>
            </w:r>
          </w:p>
        </w:tc>
      </w:tr>
      <w:tr w:rsidR="00B555F7" w:rsidTr="00B555F7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F7" w:rsidRPr="00643EEB" w:rsidRDefault="00B555F7" w:rsidP="00F43996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 xml:space="preserve">ИТОГО показатели по фактическим данным отчетного года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F7" w:rsidRPr="00643EEB" w:rsidRDefault="00B555F7" w:rsidP="00F43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5361A8" w:rsidRDefault="00B555F7" w:rsidP="00B555F7">
            <w:pPr>
              <w:jc w:val="center"/>
            </w:pPr>
            <w:r w:rsidRPr="005361A8">
              <w:t>100.5</w:t>
            </w:r>
          </w:p>
        </w:tc>
      </w:tr>
      <w:tr w:rsidR="00B555F7" w:rsidTr="00B555F7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555F7" w:rsidRPr="00643EEB" w:rsidRDefault="00B555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>1. Показатели оценки качества исполнения ГАБС бюджетных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555F7" w:rsidRPr="00643EEB" w:rsidRDefault="00B555F7" w:rsidP="00F439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B555F7" w:rsidRPr="00B555F7" w:rsidRDefault="00B555F7" w:rsidP="00B555F7">
            <w:pPr>
              <w:jc w:val="center"/>
              <w:rPr>
                <w:b/>
              </w:rPr>
            </w:pPr>
            <w:r w:rsidRPr="00B555F7">
              <w:rPr>
                <w:b/>
              </w:rPr>
              <w:t>83.5</w:t>
            </w:r>
          </w:p>
        </w:tc>
      </w:tr>
      <w:tr w:rsidR="00B555F7" w:rsidTr="00B555F7">
        <w:trPr>
          <w:trHeight w:val="4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jc w:val="both"/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1.1. Показатели оценки качества финансового менеджмента, применяемые для всех ГАБС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 w:rsidP="00F439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B555F7" w:rsidRDefault="00B555F7" w:rsidP="00B555F7">
            <w:pPr>
              <w:jc w:val="center"/>
              <w:rPr>
                <w:b/>
              </w:rPr>
            </w:pPr>
            <w:r w:rsidRPr="00B555F7">
              <w:rPr>
                <w:b/>
              </w:rPr>
              <w:t>51.6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>. Процент своевременно представленных ГАБС документов и материалов для составления проекта бюджета на очередной финансовый год и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>. Число случаев несвоевременного представления ГАБС предложений при подготовке внесений изменений в бюджет на текущий год и на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P3. Число случаев несвоевременного внесения ГАБС изменений в автоматизированной системе «АЦК-Финансы» в сводную бюджетную роспись в соответствии бюджетом на текущий год и на плановый период»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 xml:space="preserve">. Число случаев несвоевременного предоставления ГАБС реестра расходных обязательств в Комитет финансов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Р5. Процент принятых расчетов бюджетных ассигнований в соответствии с утвержденной методикой планирования, представленных ГАБС при разработке проекта бюджета на очередной финансовый год и плановый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11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>. Соотношение суммы изменений, внесенных ГАБС в сводную бюджетную роспись бюджета в соответствии с принятыми изменениями в бюджете, и общего объема бюджетных ассигнований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>. Процент поставленных на учет бюджетных обязательств ГАБС и муниципальных учреждений, в отношении которых ГАБС осуществляет полномочия главного распорядителя бюджетных средств (далее - ГРБС)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Р8.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>. Соотношение кассовых расходов и плановых объемов бюджетных ассигнований ГАБС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2.8</w:t>
            </w:r>
          </w:p>
        </w:tc>
      </w:tr>
      <w:tr w:rsidR="00B555F7" w:rsidTr="00B555F7">
        <w:trPr>
          <w:trHeight w:val="135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Р10. Процент принятых Комитетом финансов заявок на оплату расходов ГАБС и муниципальных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</w:tr>
      <w:tr w:rsidR="00B555F7" w:rsidTr="00B555F7">
        <w:trPr>
          <w:trHeight w:val="10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 xml:space="preserve">Р11. Количество полученных ГАБС уведомлений </w:t>
            </w:r>
            <w:proofErr w:type="gramStart"/>
            <w:r w:rsidRPr="00643EEB">
              <w:rPr>
                <w:color w:val="000000"/>
                <w:sz w:val="22"/>
                <w:szCs w:val="22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643EEB">
              <w:rPr>
                <w:color w:val="000000"/>
                <w:sz w:val="22"/>
                <w:szCs w:val="22"/>
              </w:rPr>
              <w:t xml:space="preserve"> процедур исполнения судебных актов, предусматривающих обращение взыскания на средства 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Р12. Отношение просроченной кредиторской задолженности ГАБС и подведомственных ему муниципальных казенных учреждений к объему бюджетных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54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Р13. Среднеквартальный процент отклонения планируемых и фактических кассовых выплат ГАБС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2.5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Р14. Число случаев несвоевременного представления ГАБС ежемесячной и годовой отчетностей об исполнении 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</w:tr>
      <w:tr w:rsidR="00B555F7" w:rsidTr="00B555F7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Р15. Процент форм годовой бюджетной отчетности, представленной ГАБС без ошибок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1.2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P16. Число случаев нарушения ГАБС бюджетного законодательства, выявленных при осуществлении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</w:tr>
      <w:tr w:rsidR="00B555F7" w:rsidTr="00B555F7">
        <w:trPr>
          <w:trHeight w:val="19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lastRenderedPageBreak/>
              <w:t>Р17. Количество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1064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1.2. Показатели оценки качества финансового менеджмента, применяемые для ГАБС, являющихся главными администраторами источников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1.2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sz w:val="22"/>
                <w:szCs w:val="22"/>
              </w:rPr>
            </w:pPr>
            <w:r w:rsidRPr="00643EEB">
              <w:rPr>
                <w:sz w:val="22"/>
                <w:szCs w:val="22"/>
              </w:rPr>
              <w:t>Р18. Соотношение фактических кассовых выплат и плановых объемов бюджетных ассигнований ГАБС по источникам финансирования дефицита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1.2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 xml:space="preserve">1.3. Показатели оценки качества финансового менеджмента, применяемые для ГАБС, являющихся ответственными исполнителями муниципальных программ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P19. Число случаев внесения изменений в муниципальные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1.4. Показатели оценки качества финансового менеджмента, применяемые для ГАБС, являющихся главными администраторами доходов бюджета (далее – ГАДБ)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P20. Процент выполнения первоначального плана по поступлению доходов бюджета, закрепленных за ГАДБ (без учета безвозмездных поступлений)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1.5. Показатели оценки качества финансового менеджмента, применяемые для ГАБС, осуществляющих полномочия ГРБС в отношении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10.5</w:t>
            </w:r>
          </w:p>
        </w:tc>
      </w:tr>
      <w:tr w:rsidR="00B555F7" w:rsidTr="00B555F7">
        <w:trPr>
          <w:trHeight w:val="18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P21.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1.5</w:t>
            </w:r>
          </w:p>
        </w:tc>
      </w:tr>
      <w:tr w:rsidR="00B555F7" w:rsidTr="00B555F7">
        <w:trPr>
          <w:trHeight w:val="151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P22. Количество решений налогового органа о взыскании с муниципальных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P23. 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87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P24. Процент муниципальных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lastRenderedPageBreak/>
              <w:t>Р25. 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5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Р26. 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1.0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1.6. Показатели оценки качества финансового менеджмента, применяемые для ГАБС, осуществляющих полномочия учредителей в отношении муниципальных бюджетных и (или) автономных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Х</w:t>
            </w:r>
          </w:p>
        </w:tc>
      </w:tr>
      <w:tr w:rsidR="00B555F7" w:rsidTr="00B555F7">
        <w:trPr>
          <w:trHeight w:val="15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P27. 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х</w:t>
            </w:r>
          </w:p>
        </w:tc>
      </w:tr>
      <w:tr w:rsidR="00B555F7" w:rsidTr="00B555F7">
        <w:trPr>
          <w:trHeight w:val="1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P28. 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х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P29. 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х</w:t>
            </w:r>
          </w:p>
        </w:tc>
      </w:tr>
      <w:tr w:rsidR="00B555F7" w:rsidTr="00B555F7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Р30. Процент форм годовой бухгалтерской отчетности, представленной ГАБС без ошибок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х</w:t>
            </w:r>
          </w:p>
        </w:tc>
      </w:tr>
      <w:tr w:rsidR="00B555F7" w:rsidTr="00B555F7">
        <w:trPr>
          <w:trHeight w:val="1977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P31. Процент муниципальных бюджетных и автономных учреждений, в отношении которых ГАБС осуществляет полномочия учредителя,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х</w:t>
            </w:r>
          </w:p>
        </w:tc>
      </w:tr>
      <w:tr w:rsidR="00B555F7" w:rsidTr="00B555F7">
        <w:trPr>
          <w:trHeight w:val="7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1.7. Показатели оценки качества финансового менеджмента, применяемые для ГАБС, являющихся ГРБС в отношении субсидий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13.2</w:t>
            </w:r>
          </w:p>
        </w:tc>
      </w:tr>
      <w:tr w:rsidR="00B555F7" w:rsidTr="00B555F7">
        <w:trPr>
          <w:trHeight w:val="112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P32. Процент достижения ГАБС значений результатов использования субсидий из областного бюджета Ленинградской области бюджету муниципального образования, предусмотренных соглашениями о предоставлении субсидий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3.2</w:t>
            </w:r>
          </w:p>
        </w:tc>
      </w:tr>
      <w:tr w:rsidR="00B555F7" w:rsidTr="00B555F7">
        <w:trPr>
          <w:trHeight w:val="15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P33. Сумма средств, перечисленных из бюджета муниципального образования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</w:tr>
      <w:tr w:rsidR="00B555F7" w:rsidTr="00B555F7">
        <w:trPr>
          <w:trHeight w:val="15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7A565C">
              <w:rPr>
                <w:color w:val="000000"/>
                <w:sz w:val="22"/>
                <w:szCs w:val="22"/>
              </w:rPr>
              <w:lastRenderedPageBreak/>
              <w:t>P33.1. Доля заявок на оплату расходов для перечисления субсидий исходя из потребности в оплате денежных обязательств по расходам муниципального образования, направленных на контроль с соблюдением сроков, установленных нормативными правовыми актами Правительства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5.0</w:t>
            </w:r>
          </w:p>
        </w:tc>
      </w:tr>
      <w:tr w:rsidR="00B555F7" w:rsidTr="00B555F7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555F7" w:rsidRPr="00643EEB" w:rsidRDefault="00B555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>2. Показатели оценки качества управления активами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B555F7" w:rsidRPr="00B555F7" w:rsidRDefault="00B555F7" w:rsidP="00B555F7">
            <w:pPr>
              <w:jc w:val="center"/>
              <w:rPr>
                <w:b/>
              </w:rPr>
            </w:pPr>
            <w:r w:rsidRPr="00B555F7">
              <w:rPr>
                <w:b/>
              </w:rPr>
              <w:t>9.0</w:t>
            </w:r>
          </w:p>
        </w:tc>
      </w:tr>
      <w:tr w:rsidR="00B555F7" w:rsidTr="00B555F7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jc w:val="both"/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2.1. Показатели оценки качества финансового менеджмента, применяемые для всех ГАБС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9.0</w:t>
            </w:r>
          </w:p>
        </w:tc>
      </w:tr>
      <w:tr w:rsidR="00B555F7" w:rsidTr="00B555F7">
        <w:trPr>
          <w:trHeight w:val="11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Р34. Процент недостач и 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</w:tr>
      <w:tr w:rsidR="00B555F7" w:rsidTr="00B555F7">
        <w:trPr>
          <w:trHeight w:val="127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Р35. Отношение дебиторской задолженности ГАБС и муниципальных казенных учреждений, в отношении которых ГАБС осуществляет полномочия ГРБС, по выданным в счет оплаты товаров, работ, услуг авансам, к объему расходов на оплату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2.0</w:t>
            </w:r>
          </w:p>
        </w:tc>
      </w:tr>
      <w:tr w:rsidR="00B555F7" w:rsidTr="00B555F7">
        <w:trPr>
          <w:trHeight w:val="118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Р36. Отношение просроченной дебиторской задолженности ГАБС и муниципальных казенных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3.0</w:t>
            </w:r>
          </w:p>
        </w:tc>
      </w:tr>
      <w:tr w:rsidR="00B555F7" w:rsidTr="00B555F7">
        <w:trPr>
          <w:trHeight w:val="93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555F7" w:rsidRPr="00643EEB" w:rsidRDefault="00B555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EEB">
              <w:rPr>
                <w:b/>
                <w:bCs/>
                <w:color w:val="000000"/>
                <w:sz w:val="22"/>
                <w:szCs w:val="22"/>
              </w:rPr>
              <w:t>3. Показатели оценки качества осуществления ГАБС закупок товаров, работ и услуг для обеспечения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B555F7" w:rsidRPr="00B555F7" w:rsidRDefault="00B555F7" w:rsidP="00B555F7">
            <w:pPr>
              <w:jc w:val="center"/>
              <w:rPr>
                <w:b/>
              </w:rPr>
            </w:pPr>
            <w:r w:rsidRPr="00B555F7">
              <w:rPr>
                <w:b/>
              </w:rPr>
              <w:t>8.0</w:t>
            </w:r>
          </w:p>
        </w:tc>
      </w:tr>
      <w:tr w:rsidR="00B555F7" w:rsidTr="00B555F7">
        <w:trPr>
          <w:trHeight w:val="46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3.1. Показатели оценки качества финансового менеджмента, применяемые для всех ГАБС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8.0</w:t>
            </w:r>
          </w:p>
        </w:tc>
      </w:tr>
      <w:tr w:rsidR="00B555F7" w:rsidTr="00B555F7">
        <w:trPr>
          <w:trHeight w:val="27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Р37. Процент документов ГАБС и муниципальных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</w:tr>
      <w:tr w:rsidR="00B555F7" w:rsidTr="00B555F7">
        <w:trPr>
          <w:trHeight w:val="150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5F7" w:rsidRPr="00643EEB" w:rsidRDefault="00B555F7">
            <w:pPr>
              <w:rPr>
                <w:color w:val="000000"/>
                <w:sz w:val="22"/>
                <w:szCs w:val="22"/>
              </w:rPr>
            </w:pPr>
            <w:r w:rsidRPr="00643EEB">
              <w:rPr>
                <w:color w:val="000000"/>
                <w:sz w:val="22"/>
                <w:szCs w:val="22"/>
              </w:rPr>
              <w:t>Р38. Количество административных штрафов, наложенных на должностных лиц ГАБС и муниципальных учреждений, в отношении которых ГАБС осуществляет полномочия ГРБС, за нарушение законодательства о контрактной системе в сфере закупок на оплату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Pr="00D749DE" w:rsidRDefault="00B555F7" w:rsidP="00B555F7">
            <w:pPr>
              <w:jc w:val="center"/>
            </w:pPr>
            <w:r w:rsidRPr="00D749DE">
              <w:t>4.0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5F7" w:rsidRDefault="00B555F7" w:rsidP="00B555F7">
            <w:pPr>
              <w:jc w:val="center"/>
            </w:pPr>
            <w:r w:rsidRPr="00D749DE">
              <w:t>4.0</w:t>
            </w:r>
          </w:p>
        </w:tc>
      </w:tr>
    </w:tbl>
    <w:p w:rsidR="007E5226" w:rsidRDefault="007E5226" w:rsidP="00643EEB">
      <w:pPr>
        <w:jc w:val="both"/>
        <w:rPr>
          <w:sz w:val="28"/>
          <w:szCs w:val="28"/>
        </w:rPr>
      </w:pPr>
    </w:p>
    <w:p w:rsidR="004913C3" w:rsidRDefault="00050539" w:rsidP="004913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4913C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913C3">
        <w:rPr>
          <w:sz w:val="28"/>
          <w:szCs w:val="28"/>
        </w:rPr>
        <w:t xml:space="preserve"> комитета финансов </w:t>
      </w:r>
    </w:p>
    <w:p w:rsidR="004913C3" w:rsidRDefault="004913C3" w:rsidP="00491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Кингисеппского</w:t>
      </w:r>
      <w:proofErr w:type="gramEnd"/>
      <w:r>
        <w:rPr>
          <w:sz w:val="28"/>
          <w:szCs w:val="28"/>
        </w:rPr>
        <w:t xml:space="preserve"> </w:t>
      </w:r>
    </w:p>
    <w:p w:rsidR="004913C3" w:rsidRDefault="004913C3" w:rsidP="004913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Т.В. Смурова</w:t>
      </w:r>
    </w:p>
    <w:p w:rsidR="00B86442" w:rsidRDefault="00B86442" w:rsidP="004913C3">
      <w:pPr>
        <w:jc w:val="both"/>
        <w:rPr>
          <w:sz w:val="28"/>
          <w:szCs w:val="28"/>
        </w:rPr>
      </w:pPr>
    </w:p>
    <w:p w:rsidR="00B86442" w:rsidRDefault="00B86442" w:rsidP="004913C3">
      <w:pPr>
        <w:jc w:val="both"/>
        <w:rPr>
          <w:sz w:val="28"/>
          <w:szCs w:val="28"/>
        </w:rPr>
      </w:pPr>
    </w:p>
    <w:p w:rsidR="00B555F7" w:rsidRDefault="00B555F7" w:rsidP="004913C3">
      <w:pPr>
        <w:jc w:val="both"/>
        <w:rPr>
          <w:sz w:val="28"/>
          <w:szCs w:val="28"/>
        </w:rPr>
      </w:pPr>
    </w:p>
    <w:p w:rsidR="00B555F7" w:rsidRDefault="00B555F7" w:rsidP="004913C3">
      <w:pPr>
        <w:jc w:val="both"/>
        <w:rPr>
          <w:sz w:val="28"/>
          <w:szCs w:val="28"/>
        </w:rPr>
      </w:pPr>
    </w:p>
    <w:p w:rsidR="00B555F7" w:rsidRDefault="00B555F7" w:rsidP="004913C3">
      <w:pPr>
        <w:jc w:val="both"/>
        <w:rPr>
          <w:sz w:val="28"/>
          <w:szCs w:val="28"/>
        </w:rPr>
      </w:pPr>
    </w:p>
    <w:p w:rsidR="00B555F7" w:rsidRDefault="00B555F7" w:rsidP="004913C3">
      <w:pPr>
        <w:jc w:val="both"/>
        <w:rPr>
          <w:sz w:val="28"/>
          <w:szCs w:val="28"/>
        </w:rPr>
      </w:pPr>
    </w:p>
    <w:p w:rsidR="00B555F7" w:rsidRDefault="00B555F7" w:rsidP="004913C3">
      <w:pPr>
        <w:jc w:val="both"/>
        <w:rPr>
          <w:sz w:val="28"/>
          <w:szCs w:val="28"/>
        </w:rPr>
      </w:pPr>
    </w:p>
    <w:p w:rsidR="00B555F7" w:rsidRDefault="00B555F7" w:rsidP="004913C3">
      <w:pPr>
        <w:jc w:val="both"/>
        <w:rPr>
          <w:sz w:val="28"/>
          <w:szCs w:val="28"/>
        </w:rPr>
      </w:pPr>
      <w:bookmarkStart w:id="0" w:name="_GoBack"/>
      <w:bookmarkEnd w:id="0"/>
    </w:p>
    <w:p w:rsidR="0014022E" w:rsidRPr="004913C3" w:rsidRDefault="00B41B44" w:rsidP="00B41B44">
      <w:pPr>
        <w:jc w:val="both"/>
        <w:rPr>
          <w:sz w:val="18"/>
          <w:szCs w:val="18"/>
        </w:rPr>
      </w:pPr>
      <w:r w:rsidRPr="004913C3">
        <w:rPr>
          <w:sz w:val="18"/>
          <w:szCs w:val="18"/>
        </w:rPr>
        <w:t>Исп</w:t>
      </w:r>
      <w:r w:rsidR="0014022E" w:rsidRPr="004913C3">
        <w:rPr>
          <w:sz w:val="18"/>
          <w:szCs w:val="18"/>
        </w:rPr>
        <w:t>олнитель:</w:t>
      </w:r>
    </w:p>
    <w:p w:rsidR="00B555F7" w:rsidRDefault="004913C3" w:rsidP="00252DE4">
      <w:pPr>
        <w:jc w:val="both"/>
        <w:rPr>
          <w:sz w:val="18"/>
          <w:szCs w:val="18"/>
        </w:rPr>
      </w:pPr>
      <w:r w:rsidRPr="004913C3">
        <w:rPr>
          <w:sz w:val="18"/>
          <w:szCs w:val="18"/>
        </w:rPr>
        <w:t>Шувалова О.</w:t>
      </w:r>
      <w:r w:rsidR="006966B9" w:rsidRPr="004913C3">
        <w:rPr>
          <w:sz w:val="18"/>
          <w:szCs w:val="18"/>
        </w:rPr>
        <w:t>В</w:t>
      </w:r>
      <w:r w:rsidR="00B41B44" w:rsidRPr="004913C3">
        <w:rPr>
          <w:sz w:val="18"/>
          <w:szCs w:val="18"/>
        </w:rPr>
        <w:t xml:space="preserve">., </w:t>
      </w:r>
    </w:p>
    <w:p w:rsidR="006F7AE2" w:rsidRPr="004913C3" w:rsidRDefault="00B41B44" w:rsidP="00252DE4">
      <w:pPr>
        <w:jc w:val="both"/>
        <w:rPr>
          <w:sz w:val="18"/>
          <w:szCs w:val="18"/>
        </w:rPr>
      </w:pPr>
      <w:r w:rsidRPr="004913C3">
        <w:rPr>
          <w:sz w:val="18"/>
          <w:szCs w:val="18"/>
        </w:rPr>
        <w:t>тел.4-88-</w:t>
      </w:r>
      <w:r w:rsidR="004913C3" w:rsidRPr="004913C3">
        <w:rPr>
          <w:sz w:val="18"/>
          <w:szCs w:val="18"/>
        </w:rPr>
        <w:t>41</w:t>
      </w:r>
    </w:p>
    <w:sectPr w:rsidR="006F7AE2" w:rsidRPr="004913C3" w:rsidSect="00643EEB">
      <w:headerReference w:type="default" r:id="rId7"/>
      <w:footerReference w:type="default" r:id="rId8"/>
      <w:pgSz w:w="11906" w:h="16838"/>
      <w:pgMar w:top="1134" w:right="567" w:bottom="709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B" w:rsidRDefault="00643EEB">
      <w:r>
        <w:separator/>
      </w:r>
    </w:p>
  </w:endnote>
  <w:endnote w:type="continuationSeparator" w:id="0">
    <w:p w:rsidR="00643EEB" w:rsidRDefault="006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EB" w:rsidRDefault="00643EEB" w:rsidP="009B6E29">
    <w:pPr>
      <w:pStyle w:val="a5"/>
      <w:jc w:val="right"/>
    </w:pPr>
  </w:p>
  <w:p w:rsidR="00643EEB" w:rsidRDefault="00643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B" w:rsidRDefault="00643EEB">
      <w:r>
        <w:separator/>
      </w:r>
    </w:p>
  </w:footnote>
  <w:footnote w:type="continuationSeparator" w:id="0">
    <w:p w:rsidR="00643EEB" w:rsidRDefault="0064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10116"/>
      <w:docPartObj>
        <w:docPartGallery w:val="Page Numbers (Top of Page)"/>
        <w:docPartUnique/>
      </w:docPartObj>
    </w:sdtPr>
    <w:sdtEndPr/>
    <w:sdtContent>
      <w:p w:rsidR="00643EEB" w:rsidRDefault="00643EEB">
        <w:pPr>
          <w:pStyle w:val="a3"/>
          <w:jc w:val="center"/>
        </w:pPr>
      </w:p>
      <w:p w:rsidR="00643EEB" w:rsidRDefault="00643E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F7">
          <w:rPr>
            <w:noProof/>
          </w:rPr>
          <w:t>7</w:t>
        </w:r>
        <w:r>
          <w:fldChar w:fldCharType="end"/>
        </w:r>
      </w:p>
    </w:sdtContent>
  </w:sdt>
  <w:p w:rsidR="00643EEB" w:rsidRDefault="00643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2"/>
    <w:rsid w:val="00050539"/>
    <w:rsid w:val="00067116"/>
    <w:rsid w:val="000A0775"/>
    <w:rsid w:val="000D1AA6"/>
    <w:rsid w:val="000F2DD6"/>
    <w:rsid w:val="0014022E"/>
    <w:rsid w:val="00147B08"/>
    <w:rsid w:val="00177C8D"/>
    <w:rsid w:val="001E4E51"/>
    <w:rsid w:val="00252DE4"/>
    <w:rsid w:val="00263166"/>
    <w:rsid w:val="002B1A1D"/>
    <w:rsid w:val="002C5AF4"/>
    <w:rsid w:val="00311499"/>
    <w:rsid w:val="00314905"/>
    <w:rsid w:val="003B36A1"/>
    <w:rsid w:val="003C38FF"/>
    <w:rsid w:val="004526A0"/>
    <w:rsid w:val="004735C5"/>
    <w:rsid w:val="00474513"/>
    <w:rsid w:val="004913C3"/>
    <w:rsid w:val="004F5FE8"/>
    <w:rsid w:val="00520E53"/>
    <w:rsid w:val="00556037"/>
    <w:rsid w:val="005640AC"/>
    <w:rsid w:val="00564F43"/>
    <w:rsid w:val="00584670"/>
    <w:rsid w:val="005A5CA4"/>
    <w:rsid w:val="005A6EA5"/>
    <w:rsid w:val="005B3F63"/>
    <w:rsid w:val="00643EEB"/>
    <w:rsid w:val="006966B9"/>
    <w:rsid w:val="006D39A6"/>
    <w:rsid w:val="006F5EDD"/>
    <w:rsid w:val="006F7AE2"/>
    <w:rsid w:val="0078247D"/>
    <w:rsid w:val="007A565C"/>
    <w:rsid w:val="007E5226"/>
    <w:rsid w:val="008161C0"/>
    <w:rsid w:val="00843FEF"/>
    <w:rsid w:val="00894DBC"/>
    <w:rsid w:val="008A7443"/>
    <w:rsid w:val="009118C2"/>
    <w:rsid w:val="00913A76"/>
    <w:rsid w:val="0092130A"/>
    <w:rsid w:val="009276E9"/>
    <w:rsid w:val="00941A69"/>
    <w:rsid w:val="00950446"/>
    <w:rsid w:val="009A301F"/>
    <w:rsid w:val="009B6E29"/>
    <w:rsid w:val="009E5858"/>
    <w:rsid w:val="00A33DA4"/>
    <w:rsid w:val="00A57636"/>
    <w:rsid w:val="00B338CD"/>
    <w:rsid w:val="00B41B44"/>
    <w:rsid w:val="00B46804"/>
    <w:rsid w:val="00B555F7"/>
    <w:rsid w:val="00B60463"/>
    <w:rsid w:val="00B86442"/>
    <w:rsid w:val="00B87DA0"/>
    <w:rsid w:val="00BC7855"/>
    <w:rsid w:val="00BD50B1"/>
    <w:rsid w:val="00C41D7E"/>
    <w:rsid w:val="00C91046"/>
    <w:rsid w:val="00CB2B8E"/>
    <w:rsid w:val="00D43378"/>
    <w:rsid w:val="00D44702"/>
    <w:rsid w:val="00DC316F"/>
    <w:rsid w:val="00DC51B5"/>
    <w:rsid w:val="00DE3083"/>
    <w:rsid w:val="00DF173F"/>
    <w:rsid w:val="00E22BB3"/>
    <w:rsid w:val="00E35A97"/>
    <w:rsid w:val="00F43996"/>
    <w:rsid w:val="00F67AFC"/>
    <w:rsid w:val="00FB3C50"/>
    <w:rsid w:val="00FF15DD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31490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1490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31490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1490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3149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31490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31490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Pro-Gramma"/>
    <w:rsid w:val="00314905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1490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table" w:customStyle="1" w:styleId="1">
    <w:name w:val="Сетка таблицы светлая1"/>
    <w:basedOn w:val="a1"/>
    <w:uiPriority w:val="40"/>
    <w:rsid w:val="003149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</dc:creator>
  <cp:lastModifiedBy>SOV</cp:lastModifiedBy>
  <cp:revision>9</cp:revision>
  <cp:lastPrinted>2023-04-25T08:18:00Z</cp:lastPrinted>
  <dcterms:created xsi:type="dcterms:W3CDTF">2023-03-09T07:19:00Z</dcterms:created>
  <dcterms:modified xsi:type="dcterms:W3CDTF">2024-04-10T10:18:00Z</dcterms:modified>
</cp:coreProperties>
</file>